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07252C">
      <w:pPr>
        <w:spacing w:line="540" w:lineRule="exact"/>
        <w:ind w:firstLine="1767" w:firstLineChars="400"/>
        <w:rPr>
          <w:rFonts w:hint="eastAsia" w:ascii="黑体" w:hAnsi="黑体" w:eastAsia="黑体" w:cs="黑体"/>
          <w:b/>
          <w:color w:val="333333"/>
          <w:kern w:val="0"/>
          <w:sz w:val="44"/>
          <w:szCs w:val="44"/>
        </w:rPr>
      </w:pPr>
      <w:r>
        <w:rPr>
          <w:rFonts w:hint="eastAsia" w:ascii="黑体" w:hAnsi="黑体" w:eastAsia="黑体" w:cs="黑体"/>
          <w:b/>
          <w:color w:val="333333"/>
          <w:kern w:val="0"/>
          <w:sz w:val="44"/>
          <w:szCs w:val="44"/>
        </w:rPr>
        <w:t>大冶市202</w:t>
      </w:r>
      <w:r>
        <w:rPr>
          <w:rFonts w:hint="eastAsia" w:ascii="黑体" w:hAnsi="黑体" w:eastAsia="黑体" w:cs="黑体"/>
          <w:b/>
          <w:color w:val="333333"/>
          <w:kern w:val="0"/>
          <w:sz w:val="44"/>
          <w:szCs w:val="44"/>
          <w:lang w:val="en-US" w:eastAsia="zh-CN"/>
        </w:rPr>
        <w:t>5</w:t>
      </w:r>
      <w:r>
        <w:rPr>
          <w:rFonts w:hint="eastAsia" w:ascii="黑体" w:hAnsi="黑体" w:eastAsia="黑体" w:cs="黑体"/>
          <w:b/>
          <w:color w:val="333333"/>
          <w:kern w:val="0"/>
          <w:sz w:val="44"/>
          <w:szCs w:val="44"/>
        </w:rPr>
        <w:t>年第</w:t>
      </w:r>
      <w:r>
        <w:rPr>
          <w:rFonts w:hint="eastAsia" w:ascii="黑体" w:hAnsi="黑体" w:eastAsia="黑体" w:cs="黑体"/>
          <w:b/>
          <w:color w:val="333333"/>
          <w:kern w:val="0"/>
          <w:sz w:val="44"/>
          <w:szCs w:val="44"/>
          <w:lang w:val="en-US" w:eastAsia="zh-CN"/>
        </w:rPr>
        <w:t>2</w:t>
      </w:r>
      <w:r>
        <w:rPr>
          <w:rFonts w:hint="eastAsia" w:ascii="黑体" w:hAnsi="黑体" w:eastAsia="黑体" w:cs="黑体"/>
          <w:b/>
          <w:color w:val="333333"/>
          <w:kern w:val="0"/>
          <w:sz w:val="44"/>
          <w:szCs w:val="44"/>
        </w:rPr>
        <w:t>期国有</w:t>
      </w:r>
    </w:p>
    <w:p w14:paraId="268904A6">
      <w:pPr>
        <w:spacing w:line="540" w:lineRule="exact"/>
        <w:ind w:firstLine="883" w:firstLineChars="200"/>
        <w:rPr>
          <w:rFonts w:hint="eastAsia" w:ascii="黑体" w:hAnsi="黑体" w:eastAsia="黑体" w:cs="黑体"/>
          <w:b/>
          <w:color w:val="333333"/>
          <w:kern w:val="0"/>
          <w:sz w:val="36"/>
          <w:szCs w:val="36"/>
        </w:rPr>
      </w:pPr>
      <w:r>
        <w:rPr>
          <w:rFonts w:hint="eastAsia" w:ascii="黑体" w:hAnsi="黑体" w:eastAsia="黑体" w:cs="黑体"/>
          <w:b/>
          <w:color w:val="333333"/>
          <w:kern w:val="0"/>
          <w:sz w:val="44"/>
          <w:szCs w:val="44"/>
        </w:rPr>
        <w:t>建设用地使用权网上挂牌出让须知</w:t>
      </w:r>
    </w:p>
    <w:p w14:paraId="17631D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根据《中华人民共和国土地管理法》、《中华人民共和国城市房地产管理法》、《中华人民共和国城镇国有土地使用权出让和转让暂行条例》、《招标拍卖挂牌出让国有建设用地使用权规定》及《招标拍卖挂牌出让国有土地使用权规范》等有关规定，经大冶市人民政府批准，大冶市公共资源交易中心根据大冶市自然资源和规划局</w:t>
      </w:r>
      <w:r>
        <w:rPr>
          <w:rFonts w:hint="eastAsia" w:eastAsia="仿宋_GB2312"/>
          <w:sz w:val="32"/>
          <w:lang w:val="en-US" w:eastAsia="zh-CN"/>
        </w:rPr>
        <w:t>来</w:t>
      </w:r>
      <w:r>
        <w:rPr>
          <w:rFonts w:hint="eastAsia" w:eastAsia="仿宋_GB2312"/>
          <w:sz w:val="32"/>
        </w:rPr>
        <w:t>函，决定以网上挂牌方式出让</w:t>
      </w:r>
      <w:r>
        <w:rPr>
          <w:rFonts w:hint="eastAsia" w:ascii="仿宋" w:hAnsi="仿宋" w:eastAsia="仿宋" w:cs="宋体"/>
          <w:color w:val="333333"/>
          <w:kern w:val="0"/>
          <w:sz w:val="32"/>
          <w:szCs w:val="32"/>
        </w:rPr>
        <w:t>G</w:t>
      </w:r>
      <w:r>
        <w:rPr>
          <w:rFonts w:hint="eastAsia" w:ascii="仿宋" w:hAnsi="仿宋" w:eastAsia="仿宋" w:cs="宋体"/>
          <w:color w:val="333333"/>
          <w:kern w:val="0"/>
          <w:sz w:val="32"/>
          <w:szCs w:val="32"/>
          <w:lang w:val="en-US" w:eastAsia="zh-CN"/>
        </w:rPr>
        <w:t>24038号等5宗地块</w:t>
      </w:r>
      <w:r>
        <w:rPr>
          <w:rFonts w:hint="eastAsia" w:eastAsia="仿宋_GB2312"/>
          <w:sz w:val="32"/>
        </w:rPr>
        <w:t>国有建设用地使用权。</w:t>
      </w:r>
    </w:p>
    <w:p w14:paraId="1F02D52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一、本次国有建设用地使用权挂牌出让的出让人为大冶市自然资源和规划局，具体组织实施由大冶市公共资源交易中心承办。</w:t>
      </w:r>
    </w:p>
    <w:p w14:paraId="730CFF2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二、本次国有建设用地使用权挂牌出让遵循公开、公平、公正和诚实信用原则。</w:t>
      </w:r>
    </w:p>
    <w:p w14:paraId="760A1D19">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textAlignment w:val="auto"/>
        <w:rPr>
          <w:rFonts w:hint="eastAsia" w:eastAsia="仿宋_GB2312"/>
          <w:sz w:val="32"/>
        </w:rPr>
      </w:pPr>
      <w:r>
        <w:rPr>
          <w:rFonts w:hint="eastAsia" w:eastAsia="仿宋_GB2312"/>
          <w:sz w:val="32"/>
        </w:rPr>
        <w:t>出让地块的基本情况及规划指标要求等：</w:t>
      </w:r>
    </w:p>
    <w:tbl>
      <w:tblPr>
        <w:tblStyle w:val="7"/>
        <w:tblW w:w="9731" w:type="dxa"/>
        <w:jc w:val="center"/>
        <w:tblLayout w:type="fixed"/>
        <w:tblCellMar>
          <w:top w:w="0" w:type="dxa"/>
          <w:left w:w="0" w:type="dxa"/>
          <w:bottom w:w="0" w:type="dxa"/>
          <w:right w:w="0" w:type="dxa"/>
        </w:tblCellMar>
      </w:tblPr>
      <w:tblGrid>
        <w:gridCol w:w="771"/>
        <w:gridCol w:w="1686"/>
        <w:gridCol w:w="885"/>
        <w:gridCol w:w="929"/>
        <w:gridCol w:w="795"/>
        <w:gridCol w:w="793"/>
        <w:gridCol w:w="641"/>
        <w:gridCol w:w="670"/>
        <w:gridCol w:w="1059"/>
        <w:gridCol w:w="730"/>
        <w:gridCol w:w="772"/>
      </w:tblGrid>
      <w:tr w14:paraId="1BBA3F16">
        <w:tblPrEx>
          <w:tblCellMar>
            <w:top w:w="0" w:type="dxa"/>
            <w:left w:w="0" w:type="dxa"/>
            <w:bottom w:w="0" w:type="dxa"/>
            <w:right w:w="0" w:type="dxa"/>
          </w:tblCellMar>
        </w:tblPrEx>
        <w:trPr>
          <w:cantSplit/>
          <w:trHeight w:val="281" w:hRule="atLeast"/>
          <w:jc w:val="center"/>
        </w:trPr>
        <w:tc>
          <w:tcPr>
            <w:tcW w:w="7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C08D862">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地块</w:t>
            </w:r>
          </w:p>
          <w:p w14:paraId="59F2378C">
            <w:pPr>
              <w:spacing w:line="220" w:lineRule="exact"/>
              <w:jc w:val="center"/>
              <w:rPr>
                <w:rFonts w:hint="eastAsia" w:ascii="仿宋" w:hAnsi="仿宋" w:eastAsia="仿宋" w:cs="仿宋"/>
                <w:color w:val="auto"/>
                <w:spacing w:val="-8"/>
                <w:sz w:val="18"/>
                <w:szCs w:val="18"/>
              </w:rPr>
            </w:pPr>
            <w:r>
              <w:rPr>
                <w:rFonts w:hint="eastAsia" w:ascii="仿宋" w:hAnsi="仿宋" w:eastAsia="仿宋" w:cs="仿宋"/>
                <w:color w:val="auto"/>
                <w:spacing w:val="-8"/>
                <w:sz w:val="18"/>
                <w:szCs w:val="18"/>
              </w:rPr>
              <w:t>编号</w:t>
            </w:r>
          </w:p>
        </w:tc>
        <w:tc>
          <w:tcPr>
            <w:tcW w:w="1686"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02F49FB">
            <w:pPr>
              <w:spacing w:line="220" w:lineRule="exact"/>
              <w:jc w:val="center"/>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t>土地坐落</w:t>
            </w:r>
          </w:p>
        </w:tc>
        <w:tc>
          <w:tcPr>
            <w:tcW w:w="885" w:type="dxa"/>
            <w:vMerge w:val="restart"/>
            <w:tcBorders>
              <w:top w:val="single" w:color="auto" w:sz="4" w:space="0"/>
              <w:left w:val="single" w:color="auto" w:sz="4" w:space="0"/>
              <w:bottom w:val="single" w:color="auto" w:sz="4" w:space="0"/>
              <w:right w:val="single" w:color="auto" w:sz="4" w:space="0"/>
            </w:tcBorders>
            <w:vAlign w:val="center"/>
          </w:tcPr>
          <w:p w14:paraId="07AD7FD9">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总面积</w:t>
            </w:r>
          </w:p>
        </w:tc>
        <w:tc>
          <w:tcPr>
            <w:tcW w:w="929" w:type="dxa"/>
            <w:vMerge w:val="restart"/>
            <w:tcBorders>
              <w:top w:val="single" w:color="auto" w:sz="4" w:space="0"/>
              <w:left w:val="single" w:color="auto" w:sz="4" w:space="0"/>
              <w:bottom w:val="single" w:color="auto" w:sz="4" w:space="0"/>
              <w:right w:val="single" w:color="auto" w:sz="4" w:space="0"/>
            </w:tcBorders>
            <w:vAlign w:val="center"/>
          </w:tcPr>
          <w:p w14:paraId="10772854">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出让面积(㎡)</w:t>
            </w:r>
          </w:p>
        </w:tc>
        <w:tc>
          <w:tcPr>
            <w:tcW w:w="79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0FE64D6">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土地</w:t>
            </w:r>
          </w:p>
          <w:p w14:paraId="167059B0">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用途</w:t>
            </w:r>
          </w:p>
        </w:tc>
        <w:tc>
          <w:tcPr>
            <w:tcW w:w="2104"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90B980F">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规划指标要求</w:t>
            </w:r>
          </w:p>
        </w:tc>
        <w:tc>
          <w:tcPr>
            <w:tcW w:w="105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80058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出让</w:t>
            </w:r>
          </w:p>
          <w:p w14:paraId="1E7AE9A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年限</w:t>
            </w:r>
          </w:p>
        </w:tc>
        <w:tc>
          <w:tcPr>
            <w:tcW w:w="730" w:type="dxa"/>
            <w:vMerge w:val="restart"/>
            <w:tcBorders>
              <w:top w:val="single" w:color="auto" w:sz="4" w:space="0"/>
              <w:left w:val="single" w:color="auto" w:sz="4" w:space="0"/>
              <w:bottom w:val="single" w:color="auto" w:sz="4" w:space="0"/>
              <w:right w:val="single" w:color="auto" w:sz="4" w:space="0"/>
            </w:tcBorders>
            <w:vAlign w:val="center"/>
          </w:tcPr>
          <w:p w14:paraId="009D7D17">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竞买</w:t>
            </w:r>
          </w:p>
          <w:p w14:paraId="0B23AA4A">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保证金</w:t>
            </w:r>
          </w:p>
          <w:p w14:paraId="657874F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c>
          <w:tcPr>
            <w:tcW w:w="772"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6076678">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挂牌</w:t>
            </w:r>
          </w:p>
          <w:p w14:paraId="085FA70B">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起始价</w:t>
            </w:r>
          </w:p>
          <w:p w14:paraId="64FFC65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(万元)</w:t>
            </w:r>
          </w:p>
        </w:tc>
      </w:tr>
      <w:tr w14:paraId="28684E31">
        <w:tblPrEx>
          <w:tblCellMar>
            <w:top w:w="0" w:type="dxa"/>
            <w:left w:w="0" w:type="dxa"/>
            <w:bottom w:w="0" w:type="dxa"/>
            <w:right w:w="0" w:type="dxa"/>
          </w:tblCellMar>
        </w:tblPrEx>
        <w:trPr>
          <w:cantSplit/>
          <w:trHeight w:val="403" w:hRule="atLeast"/>
          <w:jc w:val="center"/>
        </w:trPr>
        <w:tc>
          <w:tcPr>
            <w:tcW w:w="771" w:type="dxa"/>
            <w:vMerge w:val="continue"/>
            <w:tcBorders>
              <w:top w:val="single" w:color="auto" w:sz="4" w:space="0"/>
              <w:left w:val="single" w:color="auto" w:sz="4" w:space="0"/>
              <w:bottom w:val="single" w:color="auto" w:sz="4" w:space="0"/>
              <w:right w:val="single" w:color="auto" w:sz="4" w:space="0"/>
            </w:tcBorders>
            <w:vAlign w:val="center"/>
          </w:tcPr>
          <w:p w14:paraId="2D9829FC">
            <w:pPr>
              <w:widowControl/>
              <w:spacing w:line="220" w:lineRule="exact"/>
              <w:jc w:val="center"/>
              <w:rPr>
                <w:rFonts w:hint="eastAsia" w:ascii="仿宋" w:hAnsi="仿宋" w:eastAsia="仿宋" w:cs="仿宋"/>
                <w:color w:val="auto"/>
                <w:sz w:val="18"/>
                <w:szCs w:val="18"/>
              </w:rPr>
            </w:pPr>
          </w:p>
        </w:tc>
        <w:tc>
          <w:tcPr>
            <w:tcW w:w="1686" w:type="dxa"/>
            <w:vMerge w:val="continue"/>
            <w:tcBorders>
              <w:top w:val="single" w:color="auto" w:sz="4" w:space="0"/>
              <w:left w:val="single" w:color="auto" w:sz="4" w:space="0"/>
              <w:bottom w:val="single" w:color="auto" w:sz="4" w:space="0"/>
              <w:right w:val="single" w:color="auto" w:sz="4" w:space="0"/>
            </w:tcBorders>
            <w:vAlign w:val="center"/>
          </w:tcPr>
          <w:p w14:paraId="68B70F63">
            <w:pPr>
              <w:widowControl/>
              <w:spacing w:line="220" w:lineRule="exact"/>
              <w:jc w:val="center"/>
              <w:rPr>
                <w:rFonts w:hint="eastAsia" w:ascii="仿宋" w:hAnsi="仿宋" w:eastAsia="仿宋" w:cs="仿宋"/>
                <w:color w:val="auto"/>
                <w:kern w:val="0"/>
                <w:sz w:val="18"/>
                <w:szCs w:val="18"/>
              </w:rPr>
            </w:pPr>
          </w:p>
        </w:tc>
        <w:tc>
          <w:tcPr>
            <w:tcW w:w="885" w:type="dxa"/>
            <w:vMerge w:val="continue"/>
            <w:tcBorders>
              <w:top w:val="single" w:color="auto" w:sz="4" w:space="0"/>
              <w:left w:val="single" w:color="auto" w:sz="4" w:space="0"/>
              <w:bottom w:val="single" w:color="auto" w:sz="4" w:space="0"/>
              <w:right w:val="single" w:color="auto" w:sz="4" w:space="0"/>
            </w:tcBorders>
            <w:vAlign w:val="center"/>
          </w:tcPr>
          <w:p w14:paraId="27CEE365">
            <w:pPr>
              <w:widowControl/>
              <w:spacing w:line="220" w:lineRule="exact"/>
              <w:jc w:val="center"/>
              <w:rPr>
                <w:rFonts w:hint="eastAsia" w:ascii="仿宋" w:hAnsi="仿宋" w:eastAsia="仿宋" w:cs="仿宋"/>
                <w:color w:val="auto"/>
                <w:sz w:val="18"/>
                <w:szCs w:val="18"/>
              </w:rPr>
            </w:pPr>
          </w:p>
        </w:tc>
        <w:tc>
          <w:tcPr>
            <w:tcW w:w="929" w:type="dxa"/>
            <w:vMerge w:val="continue"/>
            <w:tcBorders>
              <w:top w:val="single" w:color="auto" w:sz="4" w:space="0"/>
              <w:left w:val="single" w:color="auto" w:sz="4" w:space="0"/>
              <w:bottom w:val="single" w:color="auto" w:sz="4" w:space="0"/>
              <w:right w:val="single" w:color="auto" w:sz="4" w:space="0"/>
            </w:tcBorders>
            <w:vAlign w:val="center"/>
          </w:tcPr>
          <w:p w14:paraId="6808CD38">
            <w:pPr>
              <w:widowControl/>
              <w:spacing w:line="220" w:lineRule="exact"/>
              <w:jc w:val="center"/>
              <w:rPr>
                <w:rFonts w:hint="eastAsia" w:ascii="仿宋" w:hAnsi="仿宋" w:eastAsia="仿宋" w:cs="仿宋"/>
                <w:color w:val="auto"/>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vAlign w:val="center"/>
          </w:tcPr>
          <w:p w14:paraId="5C7F368A">
            <w:pPr>
              <w:widowControl/>
              <w:spacing w:line="220" w:lineRule="exact"/>
              <w:jc w:val="center"/>
              <w:rPr>
                <w:rFonts w:hint="eastAsia" w:ascii="仿宋" w:hAnsi="仿宋" w:eastAsia="仿宋" w:cs="仿宋"/>
                <w:color w:val="auto"/>
                <w:sz w:val="18"/>
                <w:szCs w:val="18"/>
              </w:rPr>
            </w:pP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17EEEDE">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容积率</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DB7725A">
            <w:pPr>
              <w:spacing w:line="220" w:lineRule="exact"/>
              <w:ind w:firstLine="90" w:firstLineChars="50"/>
              <w:jc w:val="center"/>
              <w:rPr>
                <w:rFonts w:hint="eastAsia" w:ascii="仿宋" w:hAnsi="仿宋" w:eastAsia="仿宋" w:cs="仿宋"/>
                <w:color w:val="auto"/>
                <w:sz w:val="18"/>
                <w:szCs w:val="18"/>
              </w:rPr>
            </w:pPr>
            <w:r>
              <w:rPr>
                <w:rFonts w:hint="eastAsia" w:ascii="仿宋" w:hAnsi="仿宋" w:eastAsia="仿宋" w:cs="仿宋"/>
                <w:color w:val="auto"/>
                <w:sz w:val="18"/>
                <w:szCs w:val="18"/>
              </w:rPr>
              <w:t>建筑</w:t>
            </w:r>
          </w:p>
          <w:p w14:paraId="402AB71D">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密度(%)</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AE153C">
            <w:pPr>
              <w:spacing w:line="220" w:lineRule="exact"/>
              <w:jc w:val="center"/>
              <w:rPr>
                <w:rFonts w:hint="eastAsia" w:ascii="仿宋" w:hAnsi="仿宋" w:eastAsia="仿宋" w:cs="仿宋"/>
                <w:color w:val="auto"/>
                <w:sz w:val="18"/>
                <w:szCs w:val="18"/>
              </w:rPr>
            </w:pPr>
            <w:r>
              <w:rPr>
                <w:rFonts w:hint="eastAsia" w:ascii="仿宋" w:hAnsi="仿宋" w:eastAsia="仿宋" w:cs="仿宋"/>
                <w:color w:val="auto"/>
                <w:sz w:val="18"/>
                <w:szCs w:val="18"/>
              </w:rPr>
              <w:t>绿地率(%)</w:t>
            </w:r>
          </w:p>
        </w:tc>
        <w:tc>
          <w:tcPr>
            <w:tcW w:w="1059" w:type="dxa"/>
            <w:vMerge w:val="continue"/>
            <w:tcBorders>
              <w:top w:val="single" w:color="auto" w:sz="4" w:space="0"/>
              <w:left w:val="single" w:color="auto" w:sz="4" w:space="0"/>
              <w:bottom w:val="single" w:color="auto" w:sz="4" w:space="0"/>
              <w:right w:val="single" w:color="auto" w:sz="4" w:space="0"/>
            </w:tcBorders>
            <w:vAlign w:val="center"/>
          </w:tcPr>
          <w:p w14:paraId="74F069D8">
            <w:pPr>
              <w:widowControl/>
              <w:spacing w:line="220" w:lineRule="exact"/>
              <w:jc w:val="center"/>
              <w:rPr>
                <w:rFonts w:hint="eastAsia" w:ascii="仿宋" w:hAnsi="仿宋" w:eastAsia="仿宋" w:cs="仿宋"/>
                <w:color w:val="auto"/>
                <w:sz w:val="18"/>
                <w:szCs w:val="18"/>
              </w:rPr>
            </w:pPr>
          </w:p>
        </w:tc>
        <w:tc>
          <w:tcPr>
            <w:tcW w:w="730" w:type="dxa"/>
            <w:vMerge w:val="continue"/>
            <w:tcBorders>
              <w:top w:val="single" w:color="auto" w:sz="4" w:space="0"/>
              <w:left w:val="single" w:color="auto" w:sz="4" w:space="0"/>
              <w:bottom w:val="single" w:color="auto" w:sz="4" w:space="0"/>
              <w:right w:val="single" w:color="auto" w:sz="4" w:space="0"/>
            </w:tcBorders>
            <w:vAlign w:val="center"/>
          </w:tcPr>
          <w:p w14:paraId="5FAB97A9">
            <w:pPr>
              <w:widowControl/>
              <w:spacing w:line="220" w:lineRule="exact"/>
              <w:jc w:val="center"/>
              <w:rPr>
                <w:rFonts w:hint="eastAsia" w:ascii="仿宋" w:hAnsi="仿宋" w:eastAsia="仿宋" w:cs="仿宋"/>
                <w:color w:val="auto"/>
                <w:sz w:val="18"/>
                <w:szCs w:val="18"/>
              </w:rPr>
            </w:pPr>
          </w:p>
        </w:tc>
        <w:tc>
          <w:tcPr>
            <w:tcW w:w="772" w:type="dxa"/>
            <w:vMerge w:val="continue"/>
            <w:tcBorders>
              <w:top w:val="single" w:color="auto" w:sz="4" w:space="0"/>
              <w:left w:val="single" w:color="auto" w:sz="4" w:space="0"/>
              <w:bottom w:val="single" w:color="auto" w:sz="4" w:space="0"/>
              <w:right w:val="single" w:color="auto" w:sz="4" w:space="0"/>
            </w:tcBorders>
            <w:vAlign w:val="center"/>
          </w:tcPr>
          <w:p w14:paraId="0B644F79">
            <w:pPr>
              <w:widowControl/>
              <w:spacing w:line="220" w:lineRule="exact"/>
              <w:jc w:val="center"/>
              <w:rPr>
                <w:rFonts w:hint="eastAsia" w:ascii="仿宋" w:hAnsi="仿宋" w:eastAsia="仿宋" w:cs="仿宋"/>
                <w:color w:val="auto"/>
                <w:sz w:val="18"/>
                <w:szCs w:val="18"/>
              </w:rPr>
            </w:pPr>
          </w:p>
        </w:tc>
      </w:tr>
      <w:tr w14:paraId="7AC991AE">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06968B6">
            <w:pPr>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G24038</w:t>
            </w:r>
          </w:p>
        </w:tc>
        <w:tc>
          <w:tcPr>
            <w:tcW w:w="1686" w:type="dxa"/>
            <w:tcBorders>
              <w:top w:val="single" w:color="auto" w:sz="4" w:space="0"/>
              <w:left w:val="single" w:color="auto" w:sz="4" w:space="0"/>
              <w:bottom w:val="single" w:color="auto" w:sz="4" w:space="0"/>
              <w:right w:val="single" w:color="auto" w:sz="4" w:space="0"/>
            </w:tcBorders>
            <w:vAlign w:val="center"/>
          </w:tcPr>
          <w:p w14:paraId="3D5CAA75">
            <w:pPr>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殷祖镇南昌村刘金线以西</w:t>
            </w:r>
          </w:p>
        </w:tc>
        <w:tc>
          <w:tcPr>
            <w:tcW w:w="885" w:type="dxa"/>
            <w:tcBorders>
              <w:top w:val="single" w:color="auto" w:sz="4" w:space="0"/>
              <w:left w:val="single" w:color="auto" w:sz="4" w:space="0"/>
              <w:bottom w:val="single" w:color="auto" w:sz="4" w:space="0"/>
              <w:right w:val="single" w:color="auto" w:sz="4" w:space="0"/>
            </w:tcBorders>
            <w:vAlign w:val="center"/>
          </w:tcPr>
          <w:p w14:paraId="5F9620F4">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5695.02</w:t>
            </w:r>
          </w:p>
        </w:tc>
        <w:tc>
          <w:tcPr>
            <w:tcW w:w="929" w:type="dxa"/>
            <w:tcBorders>
              <w:top w:val="single" w:color="auto" w:sz="4" w:space="0"/>
              <w:left w:val="single" w:color="auto" w:sz="4" w:space="0"/>
              <w:bottom w:val="single" w:color="auto" w:sz="4" w:space="0"/>
              <w:right w:val="single" w:color="auto" w:sz="4" w:space="0"/>
            </w:tcBorders>
            <w:vAlign w:val="center"/>
          </w:tcPr>
          <w:p w14:paraId="35BDDE5E">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5058.75</w:t>
            </w:r>
          </w:p>
        </w:tc>
        <w:tc>
          <w:tcPr>
            <w:tcW w:w="795" w:type="dxa"/>
            <w:tcBorders>
              <w:top w:val="single" w:color="auto" w:sz="4" w:space="0"/>
              <w:left w:val="single" w:color="auto" w:sz="4" w:space="0"/>
              <w:bottom w:val="single" w:color="auto" w:sz="4" w:space="0"/>
              <w:right w:val="single" w:color="auto" w:sz="4" w:space="0"/>
            </w:tcBorders>
            <w:vAlign w:val="center"/>
          </w:tcPr>
          <w:p w14:paraId="703C9FFF">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社会福利</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7069A9">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≤0.7</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2A9665C">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≤40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E9F13F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≥20</w:t>
            </w:r>
          </w:p>
        </w:tc>
        <w:tc>
          <w:tcPr>
            <w:tcW w:w="1059" w:type="dxa"/>
            <w:tcBorders>
              <w:top w:val="single" w:color="auto" w:sz="4" w:space="0"/>
              <w:left w:val="single" w:color="auto" w:sz="4" w:space="0"/>
              <w:bottom w:val="single" w:color="auto" w:sz="4" w:space="0"/>
              <w:right w:val="single" w:color="auto" w:sz="4" w:space="0"/>
            </w:tcBorders>
            <w:vAlign w:val="center"/>
          </w:tcPr>
          <w:p w14:paraId="47D3CF16">
            <w:pPr>
              <w:spacing w:line="22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公服50</w:t>
            </w:r>
          </w:p>
        </w:tc>
        <w:tc>
          <w:tcPr>
            <w:tcW w:w="730" w:type="dxa"/>
            <w:tcBorders>
              <w:top w:val="single" w:color="auto" w:sz="4" w:space="0"/>
              <w:left w:val="single" w:color="auto" w:sz="4" w:space="0"/>
              <w:bottom w:val="single" w:color="auto" w:sz="4" w:space="0"/>
              <w:right w:val="single" w:color="auto" w:sz="4" w:space="0"/>
            </w:tcBorders>
            <w:vAlign w:val="center"/>
          </w:tcPr>
          <w:p w14:paraId="0A557E12">
            <w:pPr>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65</w:t>
            </w:r>
          </w:p>
        </w:tc>
        <w:tc>
          <w:tcPr>
            <w:tcW w:w="772" w:type="dxa"/>
            <w:tcBorders>
              <w:top w:val="single" w:color="auto" w:sz="4" w:space="0"/>
              <w:left w:val="single" w:color="auto" w:sz="4" w:space="0"/>
              <w:bottom w:val="single" w:color="auto" w:sz="4" w:space="0"/>
              <w:right w:val="single" w:color="auto" w:sz="4" w:space="0"/>
            </w:tcBorders>
            <w:vAlign w:val="center"/>
          </w:tcPr>
          <w:p w14:paraId="42B7D72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color w:val="auto"/>
                <w:sz w:val="18"/>
                <w:szCs w:val="18"/>
                <w:lang w:val="en-US" w:eastAsia="zh-CN"/>
              </w:rPr>
              <w:t>130</w:t>
            </w:r>
          </w:p>
        </w:tc>
      </w:tr>
      <w:tr w14:paraId="5B86085C">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CC99D90">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G25014</w:t>
            </w:r>
          </w:p>
        </w:tc>
        <w:tc>
          <w:tcPr>
            <w:tcW w:w="1686" w:type="dxa"/>
            <w:tcBorders>
              <w:top w:val="single" w:color="auto" w:sz="4" w:space="0"/>
              <w:left w:val="single" w:color="auto" w:sz="4" w:space="0"/>
              <w:bottom w:val="single" w:color="auto" w:sz="4" w:space="0"/>
              <w:right w:val="single" w:color="auto" w:sz="4" w:space="0"/>
            </w:tcBorders>
            <w:vAlign w:val="center"/>
          </w:tcPr>
          <w:p w14:paraId="2E11DA8E">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大冶大道以西、七里界路以北A地块</w:t>
            </w:r>
          </w:p>
        </w:tc>
        <w:tc>
          <w:tcPr>
            <w:tcW w:w="885" w:type="dxa"/>
            <w:tcBorders>
              <w:top w:val="single" w:color="auto" w:sz="4" w:space="0"/>
              <w:left w:val="single" w:color="auto" w:sz="4" w:space="0"/>
              <w:bottom w:val="single" w:color="auto" w:sz="4" w:space="0"/>
              <w:right w:val="single" w:color="auto" w:sz="4" w:space="0"/>
            </w:tcBorders>
            <w:vAlign w:val="center"/>
          </w:tcPr>
          <w:p w14:paraId="38551BCF">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8648.9</w:t>
            </w:r>
          </w:p>
        </w:tc>
        <w:tc>
          <w:tcPr>
            <w:tcW w:w="929" w:type="dxa"/>
            <w:tcBorders>
              <w:top w:val="single" w:color="auto" w:sz="4" w:space="0"/>
              <w:left w:val="single" w:color="auto" w:sz="4" w:space="0"/>
              <w:bottom w:val="single" w:color="auto" w:sz="4" w:space="0"/>
              <w:right w:val="single" w:color="auto" w:sz="4" w:space="0"/>
            </w:tcBorders>
            <w:vAlign w:val="center"/>
          </w:tcPr>
          <w:p w14:paraId="08757119">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8648.9</w:t>
            </w:r>
          </w:p>
        </w:tc>
        <w:tc>
          <w:tcPr>
            <w:tcW w:w="795" w:type="dxa"/>
            <w:tcBorders>
              <w:top w:val="single" w:color="auto" w:sz="4" w:space="0"/>
              <w:left w:val="single" w:color="auto" w:sz="4" w:space="0"/>
              <w:bottom w:val="single" w:color="auto" w:sz="4" w:space="0"/>
              <w:right w:val="single" w:color="auto" w:sz="4" w:space="0"/>
            </w:tcBorders>
            <w:vAlign w:val="center"/>
          </w:tcPr>
          <w:p w14:paraId="5F947DD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交通场站</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83B54B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0D0C46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0F1B08">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≥15%</w:t>
            </w:r>
          </w:p>
        </w:tc>
        <w:tc>
          <w:tcPr>
            <w:tcW w:w="1059" w:type="dxa"/>
            <w:tcBorders>
              <w:top w:val="single" w:color="auto" w:sz="4" w:space="0"/>
              <w:left w:val="single" w:color="auto" w:sz="4" w:space="0"/>
              <w:bottom w:val="single" w:color="auto" w:sz="4" w:space="0"/>
              <w:right w:val="single" w:color="auto" w:sz="4" w:space="0"/>
            </w:tcBorders>
            <w:vAlign w:val="center"/>
          </w:tcPr>
          <w:p w14:paraId="30F8D156">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公服50年</w:t>
            </w:r>
          </w:p>
        </w:tc>
        <w:tc>
          <w:tcPr>
            <w:tcW w:w="730" w:type="dxa"/>
            <w:tcBorders>
              <w:top w:val="single" w:color="auto" w:sz="4" w:space="0"/>
              <w:left w:val="single" w:color="auto" w:sz="4" w:space="0"/>
              <w:bottom w:val="single" w:color="auto" w:sz="4" w:space="0"/>
              <w:right w:val="single" w:color="auto" w:sz="4" w:space="0"/>
            </w:tcBorders>
            <w:vAlign w:val="center"/>
          </w:tcPr>
          <w:p w14:paraId="6BE16637">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240</w:t>
            </w:r>
          </w:p>
        </w:tc>
        <w:tc>
          <w:tcPr>
            <w:tcW w:w="772" w:type="dxa"/>
            <w:tcBorders>
              <w:top w:val="single" w:color="auto" w:sz="4" w:space="0"/>
              <w:left w:val="single" w:color="auto" w:sz="4" w:space="0"/>
              <w:bottom w:val="single" w:color="auto" w:sz="4" w:space="0"/>
              <w:right w:val="single" w:color="auto" w:sz="4" w:space="0"/>
            </w:tcBorders>
            <w:vAlign w:val="center"/>
          </w:tcPr>
          <w:p w14:paraId="6A66232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480</w:t>
            </w:r>
          </w:p>
        </w:tc>
      </w:tr>
      <w:tr w14:paraId="5BDA2047">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5BE94758">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G25015</w:t>
            </w:r>
          </w:p>
        </w:tc>
        <w:tc>
          <w:tcPr>
            <w:tcW w:w="1686" w:type="dxa"/>
            <w:tcBorders>
              <w:top w:val="single" w:color="auto" w:sz="4" w:space="0"/>
              <w:left w:val="single" w:color="auto" w:sz="4" w:space="0"/>
              <w:bottom w:val="single" w:color="auto" w:sz="4" w:space="0"/>
              <w:right w:val="single" w:color="auto" w:sz="4" w:space="0"/>
            </w:tcBorders>
            <w:vAlign w:val="center"/>
          </w:tcPr>
          <w:p w14:paraId="686A1109">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大棋路南侧、经二路西侧A地块</w:t>
            </w:r>
          </w:p>
        </w:tc>
        <w:tc>
          <w:tcPr>
            <w:tcW w:w="885" w:type="dxa"/>
            <w:tcBorders>
              <w:top w:val="single" w:color="auto" w:sz="4" w:space="0"/>
              <w:left w:val="single" w:color="auto" w:sz="4" w:space="0"/>
              <w:bottom w:val="single" w:color="auto" w:sz="4" w:space="0"/>
              <w:right w:val="single" w:color="auto" w:sz="4" w:space="0"/>
            </w:tcBorders>
            <w:vAlign w:val="center"/>
          </w:tcPr>
          <w:p w14:paraId="43864A35">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26694.27</w:t>
            </w:r>
          </w:p>
        </w:tc>
        <w:tc>
          <w:tcPr>
            <w:tcW w:w="929" w:type="dxa"/>
            <w:tcBorders>
              <w:top w:val="single" w:color="auto" w:sz="4" w:space="0"/>
              <w:left w:val="single" w:color="auto" w:sz="4" w:space="0"/>
              <w:bottom w:val="single" w:color="auto" w:sz="4" w:space="0"/>
              <w:right w:val="single" w:color="auto" w:sz="4" w:space="0"/>
            </w:tcBorders>
            <w:vAlign w:val="center"/>
          </w:tcPr>
          <w:p w14:paraId="78BFEAC4">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19067.92</w:t>
            </w:r>
          </w:p>
        </w:tc>
        <w:tc>
          <w:tcPr>
            <w:tcW w:w="795" w:type="dxa"/>
            <w:tcBorders>
              <w:top w:val="single" w:color="auto" w:sz="4" w:space="0"/>
              <w:left w:val="single" w:color="auto" w:sz="4" w:space="0"/>
              <w:bottom w:val="single" w:color="auto" w:sz="4" w:space="0"/>
              <w:right w:val="single" w:color="auto" w:sz="4" w:space="0"/>
            </w:tcBorders>
            <w:vAlign w:val="center"/>
          </w:tcPr>
          <w:p w14:paraId="5BC27C5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F86E7F0">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768615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≤32%</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3BF3C3D">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14:paraId="03421EA7">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p w14:paraId="3D6EAAC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商业40年</w:t>
            </w:r>
          </w:p>
        </w:tc>
        <w:tc>
          <w:tcPr>
            <w:tcW w:w="730" w:type="dxa"/>
            <w:tcBorders>
              <w:top w:val="single" w:color="auto" w:sz="4" w:space="0"/>
              <w:left w:val="single" w:color="auto" w:sz="4" w:space="0"/>
              <w:bottom w:val="single" w:color="auto" w:sz="4" w:space="0"/>
              <w:right w:val="single" w:color="auto" w:sz="4" w:space="0"/>
            </w:tcBorders>
            <w:vAlign w:val="center"/>
          </w:tcPr>
          <w:p w14:paraId="03F68419">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1060</w:t>
            </w:r>
          </w:p>
        </w:tc>
        <w:tc>
          <w:tcPr>
            <w:tcW w:w="772" w:type="dxa"/>
            <w:tcBorders>
              <w:top w:val="single" w:color="auto" w:sz="4" w:space="0"/>
              <w:left w:val="single" w:color="auto" w:sz="4" w:space="0"/>
              <w:bottom w:val="single" w:color="auto" w:sz="4" w:space="0"/>
              <w:right w:val="single" w:color="auto" w:sz="4" w:space="0"/>
            </w:tcBorders>
            <w:vAlign w:val="center"/>
          </w:tcPr>
          <w:p w14:paraId="74F3AF1B">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5300</w:t>
            </w:r>
          </w:p>
        </w:tc>
      </w:tr>
      <w:tr w14:paraId="577E7545">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40C37BF0">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G25016</w:t>
            </w:r>
          </w:p>
        </w:tc>
        <w:tc>
          <w:tcPr>
            <w:tcW w:w="1686" w:type="dxa"/>
            <w:tcBorders>
              <w:top w:val="single" w:color="auto" w:sz="4" w:space="0"/>
              <w:left w:val="single" w:color="auto" w:sz="4" w:space="0"/>
              <w:bottom w:val="single" w:color="auto" w:sz="4" w:space="0"/>
              <w:right w:val="single" w:color="auto" w:sz="4" w:space="0"/>
            </w:tcBorders>
            <w:vAlign w:val="center"/>
          </w:tcPr>
          <w:p w14:paraId="2DC897C9">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大棋路南侧、经二路西侧B地块</w:t>
            </w:r>
          </w:p>
        </w:tc>
        <w:tc>
          <w:tcPr>
            <w:tcW w:w="885" w:type="dxa"/>
            <w:tcBorders>
              <w:top w:val="single" w:color="auto" w:sz="4" w:space="0"/>
              <w:left w:val="single" w:color="auto" w:sz="4" w:space="0"/>
              <w:bottom w:val="single" w:color="auto" w:sz="4" w:space="0"/>
              <w:right w:val="single" w:color="auto" w:sz="4" w:space="0"/>
            </w:tcBorders>
            <w:vAlign w:val="center"/>
          </w:tcPr>
          <w:p w14:paraId="0AB930A3">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17632.63</w:t>
            </w:r>
          </w:p>
        </w:tc>
        <w:tc>
          <w:tcPr>
            <w:tcW w:w="929" w:type="dxa"/>
            <w:tcBorders>
              <w:top w:val="single" w:color="auto" w:sz="4" w:space="0"/>
              <w:left w:val="single" w:color="auto" w:sz="4" w:space="0"/>
              <w:bottom w:val="single" w:color="auto" w:sz="4" w:space="0"/>
              <w:right w:val="single" w:color="auto" w:sz="4" w:space="0"/>
            </w:tcBorders>
            <w:vAlign w:val="center"/>
          </w:tcPr>
          <w:p w14:paraId="4EA77E5F">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12534.84</w:t>
            </w:r>
          </w:p>
        </w:tc>
        <w:tc>
          <w:tcPr>
            <w:tcW w:w="795" w:type="dxa"/>
            <w:tcBorders>
              <w:top w:val="single" w:color="auto" w:sz="4" w:space="0"/>
              <w:left w:val="single" w:color="auto" w:sz="4" w:space="0"/>
              <w:bottom w:val="single" w:color="auto" w:sz="4" w:space="0"/>
              <w:right w:val="single" w:color="auto" w:sz="4" w:space="0"/>
            </w:tcBorders>
            <w:vAlign w:val="center"/>
          </w:tcPr>
          <w:p w14:paraId="6604C391">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E3C815E">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≤1.5（商业≤5%）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487B48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≤32%</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3379081">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≥30%</w:t>
            </w:r>
          </w:p>
        </w:tc>
        <w:tc>
          <w:tcPr>
            <w:tcW w:w="1059" w:type="dxa"/>
            <w:tcBorders>
              <w:top w:val="single" w:color="auto" w:sz="4" w:space="0"/>
              <w:left w:val="single" w:color="auto" w:sz="4" w:space="0"/>
              <w:bottom w:val="single" w:color="auto" w:sz="4" w:space="0"/>
              <w:right w:val="single" w:color="auto" w:sz="4" w:space="0"/>
            </w:tcBorders>
            <w:vAlign w:val="center"/>
          </w:tcPr>
          <w:p w14:paraId="04DC9654">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住宅70年</w:t>
            </w:r>
          </w:p>
          <w:p w14:paraId="49B5F75D">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商业40年</w:t>
            </w:r>
          </w:p>
        </w:tc>
        <w:tc>
          <w:tcPr>
            <w:tcW w:w="730" w:type="dxa"/>
            <w:tcBorders>
              <w:top w:val="single" w:color="auto" w:sz="4" w:space="0"/>
              <w:left w:val="single" w:color="auto" w:sz="4" w:space="0"/>
              <w:bottom w:val="single" w:color="auto" w:sz="4" w:space="0"/>
              <w:right w:val="single" w:color="auto" w:sz="4" w:space="0"/>
            </w:tcBorders>
            <w:vAlign w:val="center"/>
          </w:tcPr>
          <w:p w14:paraId="04949ECD">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696</w:t>
            </w:r>
          </w:p>
        </w:tc>
        <w:tc>
          <w:tcPr>
            <w:tcW w:w="772" w:type="dxa"/>
            <w:tcBorders>
              <w:top w:val="single" w:color="auto" w:sz="4" w:space="0"/>
              <w:left w:val="single" w:color="auto" w:sz="4" w:space="0"/>
              <w:bottom w:val="single" w:color="auto" w:sz="4" w:space="0"/>
              <w:right w:val="single" w:color="auto" w:sz="4" w:space="0"/>
            </w:tcBorders>
            <w:vAlign w:val="center"/>
          </w:tcPr>
          <w:p w14:paraId="5441082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3480</w:t>
            </w:r>
          </w:p>
        </w:tc>
      </w:tr>
      <w:tr w14:paraId="516E459B">
        <w:tblPrEx>
          <w:tblCellMar>
            <w:top w:w="0" w:type="dxa"/>
            <w:left w:w="0" w:type="dxa"/>
            <w:bottom w:w="0" w:type="dxa"/>
            <w:right w:w="0" w:type="dxa"/>
          </w:tblCellMar>
        </w:tblPrEx>
        <w:trPr>
          <w:cantSplit/>
          <w:trHeight w:val="930" w:hRule="atLeast"/>
          <w:jc w:val="center"/>
        </w:trPr>
        <w:tc>
          <w:tcPr>
            <w:tcW w:w="771" w:type="dxa"/>
            <w:tcBorders>
              <w:top w:val="single" w:color="auto" w:sz="4" w:space="0"/>
              <w:left w:val="single" w:color="auto" w:sz="4" w:space="0"/>
              <w:bottom w:val="single" w:color="auto" w:sz="4" w:space="0"/>
              <w:right w:val="single" w:color="auto" w:sz="4" w:space="0"/>
            </w:tcBorders>
            <w:vAlign w:val="center"/>
          </w:tcPr>
          <w:p w14:paraId="7B02111D">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G25017</w:t>
            </w:r>
          </w:p>
        </w:tc>
        <w:tc>
          <w:tcPr>
            <w:tcW w:w="1686" w:type="dxa"/>
            <w:tcBorders>
              <w:top w:val="single" w:color="auto" w:sz="4" w:space="0"/>
              <w:left w:val="single" w:color="auto" w:sz="4" w:space="0"/>
              <w:bottom w:val="single" w:color="auto" w:sz="4" w:space="0"/>
              <w:right w:val="single" w:color="auto" w:sz="4" w:space="0"/>
            </w:tcBorders>
            <w:vAlign w:val="center"/>
          </w:tcPr>
          <w:p w14:paraId="4A110439">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大棋路南侧、经二路西侧C地块</w:t>
            </w:r>
          </w:p>
        </w:tc>
        <w:tc>
          <w:tcPr>
            <w:tcW w:w="885" w:type="dxa"/>
            <w:tcBorders>
              <w:top w:val="single" w:color="auto" w:sz="4" w:space="0"/>
              <w:left w:val="single" w:color="auto" w:sz="4" w:space="0"/>
              <w:bottom w:val="single" w:color="auto" w:sz="4" w:space="0"/>
              <w:right w:val="single" w:color="auto" w:sz="4" w:space="0"/>
            </w:tcBorders>
            <w:vAlign w:val="center"/>
          </w:tcPr>
          <w:p w14:paraId="2DF1A8CB">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13139.31</w:t>
            </w:r>
          </w:p>
        </w:tc>
        <w:tc>
          <w:tcPr>
            <w:tcW w:w="929" w:type="dxa"/>
            <w:tcBorders>
              <w:top w:val="single" w:color="auto" w:sz="4" w:space="0"/>
              <w:left w:val="single" w:color="auto" w:sz="4" w:space="0"/>
              <w:bottom w:val="single" w:color="auto" w:sz="4" w:space="0"/>
              <w:right w:val="single" w:color="auto" w:sz="4" w:space="0"/>
            </w:tcBorders>
            <w:vAlign w:val="center"/>
          </w:tcPr>
          <w:p w14:paraId="4F145301">
            <w:pPr>
              <w:spacing w:line="240" w:lineRule="exact"/>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10463.71</w:t>
            </w:r>
          </w:p>
        </w:tc>
        <w:tc>
          <w:tcPr>
            <w:tcW w:w="795" w:type="dxa"/>
            <w:tcBorders>
              <w:top w:val="single" w:color="auto" w:sz="4" w:space="0"/>
              <w:left w:val="single" w:color="auto" w:sz="4" w:space="0"/>
              <w:bottom w:val="single" w:color="auto" w:sz="4" w:space="0"/>
              <w:right w:val="single" w:color="auto" w:sz="4" w:space="0"/>
            </w:tcBorders>
            <w:vAlign w:val="center"/>
          </w:tcPr>
          <w:p w14:paraId="6C08BB65">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商业</w:t>
            </w:r>
          </w:p>
        </w:tc>
        <w:tc>
          <w:tcPr>
            <w:tcW w:w="79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FF21DC">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≤1.5</w:t>
            </w:r>
          </w:p>
        </w:tc>
        <w:tc>
          <w:tcPr>
            <w:tcW w:w="64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15483A">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≤50%</w:t>
            </w:r>
          </w:p>
        </w:tc>
        <w:tc>
          <w:tcPr>
            <w:tcW w:w="67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DBD3F70">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≥20%</w:t>
            </w:r>
          </w:p>
        </w:tc>
        <w:tc>
          <w:tcPr>
            <w:tcW w:w="1059" w:type="dxa"/>
            <w:tcBorders>
              <w:top w:val="single" w:color="auto" w:sz="4" w:space="0"/>
              <w:left w:val="single" w:color="auto" w:sz="4" w:space="0"/>
              <w:bottom w:val="single" w:color="auto" w:sz="4" w:space="0"/>
              <w:right w:val="single" w:color="auto" w:sz="4" w:space="0"/>
            </w:tcBorders>
            <w:vAlign w:val="center"/>
          </w:tcPr>
          <w:p w14:paraId="4D3E1C27">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商业40年</w:t>
            </w:r>
          </w:p>
        </w:tc>
        <w:tc>
          <w:tcPr>
            <w:tcW w:w="730" w:type="dxa"/>
            <w:tcBorders>
              <w:top w:val="single" w:color="auto" w:sz="4" w:space="0"/>
              <w:left w:val="single" w:color="auto" w:sz="4" w:space="0"/>
              <w:bottom w:val="single" w:color="auto" w:sz="4" w:space="0"/>
              <w:right w:val="single" w:color="auto" w:sz="4" w:space="0"/>
            </w:tcBorders>
            <w:vAlign w:val="center"/>
          </w:tcPr>
          <w:p w14:paraId="1F8CC9B2">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1300</w:t>
            </w:r>
          </w:p>
        </w:tc>
        <w:tc>
          <w:tcPr>
            <w:tcW w:w="772" w:type="dxa"/>
            <w:tcBorders>
              <w:top w:val="single" w:color="auto" w:sz="4" w:space="0"/>
              <w:left w:val="single" w:color="auto" w:sz="4" w:space="0"/>
              <w:bottom w:val="single" w:color="auto" w:sz="4" w:space="0"/>
              <w:right w:val="single" w:color="auto" w:sz="4" w:space="0"/>
            </w:tcBorders>
            <w:vAlign w:val="center"/>
          </w:tcPr>
          <w:p w14:paraId="27B249A0">
            <w:pPr>
              <w:jc w:val="center"/>
              <w:rPr>
                <w:rFonts w:hint="eastAsia" w:ascii="仿宋" w:hAnsi="仿宋" w:eastAsia="仿宋" w:cs="仿宋"/>
                <w:b w:val="0"/>
                <w:bCs w:val="0"/>
                <w:sz w:val="18"/>
                <w:szCs w:val="18"/>
                <w:lang w:val="en-US" w:eastAsia="zh-CN"/>
              </w:rPr>
            </w:pPr>
            <w:r>
              <w:rPr>
                <w:rFonts w:hint="eastAsia" w:ascii="仿宋" w:hAnsi="仿宋" w:eastAsia="仿宋" w:cs="仿宋"/>
                <w:b w:val="0"/>
                <w:bCs w:val="0"/>
                <w:sz w:val="18"/>
                <w:szCs w:val="18"/>
                <w:lang w:val="en-US" w:eastAsia="zh-CN"/>
              </w:rPr>
              <w:t>2600</w:t>
            </w:r>
          </w:p>
        </w:tc>
      </w:tr>
      <w:tr w14:paraId="68EBD9B6">
        <w:tblPrEx>
          <w:tblCellMar>
            <w:top w:w="0" w:type="dxa"/>
            <w:left w:w="0" w:type="dxa"/>
            <w:bottom w:w="0" w:type="dxa"/>
            <w:right w:w="0" w:type="dxa"/>
          </w:tblCellMar>
        </w:tblPrEx>
        <w:trPr>
          <w:cantSplit/>
          <w:trHeight w:val="555" w:hRule="atLeast"/>
          <w:jc w:val="center"/>
        </w:trPr>
        <w:tc>
          <w:tcPr>
            <w:tcW w:w="9731" w:type="dxa"/>
            <w:gridSpan w:val="11"/>
            <w:tcBorders>
              <w:top w:val="single" w:color="auto" w:sz="4" w:space="0"/>
              <w:left w:val="single" w:color="auto" w:sz="4" w:space="0"/>
              <w:bottom w:val="single" w:color="auto" w:sz="4" w:space="0"/>
              <w:right w:val="single" w:color="auto" w:sz="4" w:space="0"/>
            </w:tcBorders>
            <w:vAlign w:val="center"/>
          </w:tcPr>
          <w:p w14:paraId="261E9A5A">
            <w:pPr>
              <w:spacing w:line="240" w:lineRule="exact"/>
              <w:rPr>
                <w:rFonts w:hint="eastAsia" w:ascii="仿宋" w:hAnsi="仿宋" w:eastAsia="仿宋" w:cs="仿宋"/>
                <w:color w:val="auto"/>
                <w:sz w:val="18"/>
                <w:szCs w:val="18"/>
              </w:rPr>
            </w:pPr>
            <w:r>
              <w:rPr>
                <w:rFonts w:hint="eastAsia" w:ascii="仿宋" w:hAnsi="仿宋" w:eastAsia="仿宋" w:cs="仿宋"/>
                <w:color w:val="auto"/>
                <w:sz w:val="18"/>
                <w:szCs w:val="18"/>
              </w:rPr>
              <w:t>规划计容建筑面积：G</w:t>
            </w:r>
            <w:r>
              <w:rPr>
                <w:rFonts w:hint="eastAsia" w:ascii="仿宋" w:hAnsi="仿宋" w:eastAsia="仿宋" w:cs="仿宋"/>
                <w:color w:val="auto"/>
                <w:sz w:val="18"/>
                <w:szCs w:val="18"/>
                <w:lang w:val="en-US" w:eastAsia="zh-CN"/>
              </w:rPr>
              <w:t>24038</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3541</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G25014</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12973</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G25015</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28601</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G25016</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18802</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r>
              <w:rPr>
                <w:rFonts w:hint="eastAsia" w:ascii="仿宋" w:hAnsi="仿宋" w:eastAsia="仿宋" w:cs="仿宋"/>
                <w:color w:val="auto"/>
                <w:sz w:val="18"/>
                <w:szCs w:val="18"/>
                <w:lang w:val="en-US" w:eastAsia="zh-CN"/>
              </w:rPr>
              <w:t>G25017</w:t>
            </w:r>
            <w:r>
              <w:rPr>
                <w:rFonts w:hint="eastAsia" w:ascii="仿宋" w:hAnsi="仿宋" w:eastAsia="仿宋" w:cs="仿宋"/>
                <w:color w:val="auto"/>
                <w:sz w:val="18"/>
                <w:szCs w:val="18"/>
              </w:rPr>
              <w:t>≤</w:t>
            </w:r>
            <w:r>
              <w:rPr>
                <w:rFonts w:hint="eastAsia" w:ascii="仿宋" w:hAnsi="仿宋" w:eastAsia="仿宋" w:cs="仿宋"/>
                <w:color w:val="auto"/>
                <w:sz w:val="18"/>
                <w:szCs w:val="18"/>
                <w:lang w:val="en-US" w:eastAsia="zh-CN"/>
              </w:rPr>
              <w:t>15695</w:t>
            </w:r>
            <w:r>
              <w:rPr>
                <w:rFonts w:hint="eastAsia" w:ascii="仿宋" w:hAnsi="仿宋" w:eastAsia="仿宋" w:cs="仿宋"/>
                <w:color w:val="auto"/>
                <w:sz w:val="18"/>
                <w:szCs w:val="18"/>
              </w:rPr>
              <w:t>㎡</w:t>
            </w:r>
            <w:r>
              <w:rPr>
                <w:rFonts w:hint="eastAsia" w:ascii="仿宋" w:hAnsi="仿宋" w:eastAsia="仿宋" w:cs="仿宋"/>
                <w:color w:val="auto"/>
                <w:sz w:val="18"/>
                <w:szCs w:val="18"/>
                <w:lang w:eastAsia="zh-CN"/>
              </w:rPr>
              <w:t>。</w:t>
            </w:r>
          </w:p>
        </w:tc>
      </w:tr>
    </w:tbl>
    <w:p w14:paraId="5788B9DA">
      <w:pPr>
        <w:spacing w:line="540" w:lineRule="exact"/>
        <w:ind w:firstLine="640" w:firstLineChars="200"/>
        <w:rPr>
          <w:rFonts w:hint="eastAsia" w:ascii="仿宋" w:hAnsi="仿宋" w:eastAsia="仿宋"/>
          <w:color w:val="auto"/>
          <w:sz w:val="32"/>
        </w:rPr>
      </w:pPr>
      <w:r>
        <w:rPr>
          <w:rFonts w:hint="eastAsia" w:ascii="仿宋" w:hAnsi="仿宋" w:eastAsia="仿宋"/>
          <w:color w:val="auto"/>
          <w:sz w:val="32"/>
        </w:rPr>
        <w:t>四、特别约定</w:t>
      </w:r>
    </w:p>
    <w:p w14:paraId="74A5D842">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lang w:eastAsia="zh-CN"/>
        </w:rPr>
        <w:t>（</w:t>
      </w:r>
      <w:r>
        <w:rPr>
          <w:rFonts w:hint="eastAsia" w:ascii="仿宋" w:hAnsi="仿宋" w:eastAsia="仿宋"/>
          <w:color w:val="auto"/>
          <w:sz w:val="32"/>
          <w:lang w:val="en-US" w:eastAsia="zh-CN"/>
        </w:rPr>
        <w:t>一</w:t>
      </w:r>
      <w:r>
        <w:rPr>
          <w:rFonts w:hint="eastAsia" w:ascii="仿宋" w:hAnsi="仿宋" w:eastAsia="仿宋"/>
          <w:color w:val="auto"/>
          <w:sz w:val="32"/>
          <w:lang w:eastAsia="zh-CN"/>
        </w:rPr>
        <w:t>）</w:t>
      </w:r>
      <w:r>
        <w:rPr>
          <w:rFonts w:hint="eastAsia" w:ascii="仿宋" w:hAnsi="仿宋" w:eastAsia="仿宋"/>
          <w:color w:val="auto"/>
          <w:sz w:val="32"/>
          <w:szCs w:val="32"/>
        </w:rPr>
        <w:t>土地开发程度：</w:t>
      </w:r>
      <w:r>
        <w:rPr>
          <w:rFonts w:hint="eastAsia" w:ascii="仿宋" w:hAnsi="仿宋" w:eastAsia="仿宋"/>
          <w:color w:val="auto"/>
          <w:sz w:val="32"/>
          <w:szCs w:val="32"/>
          <w:lang w:val="en-US" w:eastAsia="zh-CN"/>
        </w:rPr>
        <w:t>G24038号宗地外三通，即通路、通电、通上水；G25014-G25017号</w:t>
      </w:r>
      <w:r>
        <w:rPr>
          <w:rFonts w:hint="eastAsia" w:ascii="仿宋" w:hAnsi="仿宋" w:eastAsia="仿宋"/>
          <w:color w:val="auto"/>
          <w:sz w:val="32"/>
          <w:szCs w:val="32"/>
        </w:rPr>
        <w:t>宗地外</w:t>
      </w:r>
      <w:r>
        <w:rPr>
          <w:rFonts w:hint="eastAsia" w:ascii="仿宋" w:hAnsi="仿宋" w:eastAsia="仿宋"/>
          <w:color w:val="auto"/>
          <w:sz w:val="32"/>
          <w:szCs w:val="32"/>
          <w:lang w:val="en-US" w:eastAsia="zh-CN"/>
        </w:rPr>
        <w:t>五</w:t>
      </w:r>
      <w:r>
        <w:rPr>
          <w:rFonts w:hint="eastAsia" w:ascii="仿宋" w:hAnsi="仿宋" w:eastAsia="仿宋"/>
          <w:color w:val="auto"/>
          <w:sz w:val="32"/>
          <w:szCs w:val="32"/>
        </w:rPr>
        <w:t>通，即通路、通电、</w:t>
      </w:r>
      <w:r>
        <w:rPr>
          <w:rFonts w:hint="eastAsia" w:ascii="仿宋" w:hAnsi="仿宋" w:eastAsia="仿宋"/>
          <w:color w:val="auto"/>
          <w:sz w:val="32"/>
          <w:szCs w:val="32"/>
          <w:lang w:val="en-US" w:eastAsia="zh-CN"/>
        </w:rPr>
        <w:t>通讯、</w:t>
      </w:r>
      <w:r>
        <w:rPr>
          <w:rFonts w:hint="eastAsia" w:ascii="仿宋" w:hAnsi="仿宋" w:eastAsia="仿宋"/>
          <w:color w:val="auto"/>
          <w:sz w:val="32"/>
          <w:szCs w:val="32"/>
        </w:rPr>
        <w:t>通上水</w:t>
      </w:r>
      <w:r>
        <w:rPr>
          <w:rFonts w:hint="eastAsia" w:ascii="仿宋" w:hAnsi="仿宋" w:eastAsia="仿宋"/>
          <w:color w:val="auto"/>
          <w:sz w:val="32"/>
          <w:szCs w:val="32"/>
          <w:lang w:eastAsia="zh-CN"/>
        </w:rPr>
        <w:t>、</w:t>
      </w:r>
      <w:r>
        <w:rPr>
          <w:rFonts w:hint="eastAsia" w:ascii="仿宋" w:hAnsi="仿宋" w:eastAsia="仿宋"/>
          <w:color w:val="auto"/>
          <w:sz w:val="32"/>
          <w:szCs w:val="32"/>
          <w:lang w:val="en-US" w:eastAsia="zh-CN"/>
        </w:rPr>
        <w:t>通下水</w:t>
      </w:r>
      <w:r>
        <w:rPr>
          <w:rFonts w:hint="eastAsia" w:ascii="仿宋" w:hAnsi="仿宋" w:eastAsia="仿宋"/>
          <w:color w:val="auto"/>
          <w:sz w:val="32"/>
          <w:szCs w:val="32"/>
        </w:rPr>
        <w:t>，宗地内场地现状交付</w:t>
      </w:r>
      <w:r>
        <w:rPr>
          <w:rFonts w:hint="eastAsia" w:ascii="仿宋" w:hAnsi="仿宋" w:eastAsia="仿宋"/>
          <w:color w:val="auto"/>
          <w:sz w:val="32"/>
          <w:szCs w:val="32"/>
          <w:lang w:eastAsia="zh-CN"/>
        </w:rPr>
        <w:t>。</w:t>
      </w:r>
    </w:p>
    <w:p w14:paraId="248A6A2F">
      <w:pPr>
        <w:spacing w:line="540" w:lineRule="exact"/>
        <w:ind w:firstLine="640" w:firstLineChars="200"/>
        <w:rPr>
          <w:rFonts w:ascii="仿宋" w:hAnsi="仿宋" w:eastAsia="仿宋"/>
          <w:color w:val="auto"/>
          <w:sz w:val="32"/>
          <w:szCs w:val="32"/>
        </w:rPr>
      </w:pPr>
      <w:r>
        <w:rPr>
          <w:rFonts w:hint="eastAsia" w:ascii="仿宋" w:hAnsi="仿宋" w:eastAsia="仿宋"/>
          <w:color w:val="auto"/>
          <w:sz w:val="32"/>
          <w:szCs w:val="32"/>
        </w:rPr>
        <w:t>（</w:t>
      </w:r>
      <w:r>
        <w:rPr>
          <w:rFonts w:hint="eastAsia" w:ascii="仿宋" w:hAnsi="仿宋" w:eastAsia="仿宋"/>
          <w:color w:val="auto"/>
          <w:sz w:val="32"/>
          <w:szCs w:val="32"/>
          <w:lang w:val="en-US" w:eastAsia="zh-CN"/>
        </w:rPr>
        <w:t>二</w:t>
      </w:r>
      <w:r>
        <w:rPr>
          <w:rFonts w:hint="eastAsia" w:ascii="仿宋" w:hAnsi="仿宋" w:eastAsia="仿宋"/>
          <w:color w:val="auto"/>
          <w:sz w:val="32"/>
          <w:szCs w:val="32"/>
        </w:rPr>
        <w:t>）上述宗地挂牌出让成交后，竞得人应在成交之日起</w:t>
      </w:r>
      <w:r>
        <w:rPr>
          <w:rFonts w:ascii="仿宋" w:hAnsi="仿宋" w:eastAsia="仿宋"/>
          <w:color w:val="auto"/>
          <w:sz w:val="32"/>
          <w:szCs w:val="32"/>
        </w:rPr>
        <w:t>30</w:t>
      </w:r>
      <w:r>
        <w:rPr>
          <w:rFonts w:hint="eastAsia" w:ascii="仿宋" w:hAnsi="仿宋" w:eastAsia="仿宋"/>
          <w:color w:val="auto"/>
          <w:sz w:val="32"/>
          <w:szCs w:val="32"/>
        </w:rPr>
        <w:t>日内</w:t>
      </w:r>
      <w:r>
        <w:rPr>
          <w:rFonts w:hint="eastAsia" w:ascii="仿宋" w:hAnsi="仿宋" w:eastAsia="仿宋"/>
          <w:color w:val="auto"/>
          <w:sz w:val="32"/>
          <w:szCs w:val="32"/>
          <w:lang w:val="en-US" w:eastAsia="zh-CN"/>
        </w:rPr>
        <w:t>与出让人签订《</w:t>
      </w:r>
      <w:r>
        <w:rPr>
          <w:rFonts w:hint="eastAsia" w:ascii="仿宋" w:hAnsi="仿宋" w:eastAsia="仿宋"/>
          <w:color w:val="auto"/>
          <w:sz w:val="32"/>
          <w:szCs w:val="32"/>
        </w:rPr>
        <w:t>国有建设用地使用权出让合同</w:t>
      </w:r>
      <w:r>
        <w:rPr>
          <w:rFonts w:hint="eastAsia" w:ascii="仿宋" w:hAnsi="仿宋" w:eastAsia="仿宋"/>
          <w:color w:val="auto"/>
          <w:sz w:val="32"/>
          <w:szCs w:val="32"/>
          <w:lang w:val="en-US" w:eastAsia="zh-CN"/>
        </w:rPr>
        <w:t>》，按土地出让合同约定</w:t>
      </w:r>
      <w:r>
        <w:rPr>
          <w:rFonts w:hint="eastAsia" w:ascii="仿宋" w:hAnsi="仿宋" w:eastAsia="仿宋"/>
          <w:color w:val="auto"/>
          <w:sz w:val="32"/>
          <w:szCs w:val="32"/>
        </w:rPr>
        <w:t>缴纳土地成交价款，并在签订出让合同后</w:t>
      </w:r>
      <w:r>
        <w:rPr>
          <w:rFonts w:ascii="仿宋" w:hAnsi="仿宋" w:eastAsia="仿宋"/>
          <w:color w:val="auto"/>
          <w:sz w:val="32"/>
          <w:szCs w:val="32"/>
        </w:rPr>
        <w:t>10</w:t>
      </w:r>
      <w:r>
        <w:rPr>
          <w:rFonts w:hint="eastAsia" w:ascii="仿宋" w:hAnsi="仿宋" w:eastAsia="仿宋"/>
          <w:color w:val="auto"/>
          <w:sz w:val="32"/>
          <w:szCs w:val="32"/>
        </w:rPr>
        <w:t>个工作日内建立“建设项目信息公示牌”，公示牌具体规格及公示内容由大冶市自然资源和规划局另行告知。</w:t>
      </w:r>
    </w:p>
    <w:p w14:paraId="3AF16340">
      <w:pPr>
        <w:pStyle w:val="2"/>
        <w:ind w:firstLine="640"/>
        <w:rPr>
          <w:rFonts w:hint="eastAsia"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三</w:t>
      </w:r>
      <w:r>
        <w:rPr>
          <w:rFonts w:hint="eastAsia" w:ascii="仿宋" w:hAnsi="仿宋" w:eastAsia="仿宋"/>
          <w:b w:val="0"/>
          <w:bCs w:val="0"/>
          <w:color w:val="auto"/>
          <w:kern w:val="2"/>
          <w:sz w:val="32"/>
          <w:szCs w:val="32"/>
        </w:rPr>
        <w:t>）上述宗地以现状挂牌出让，实际勘测交付面积与挂牌出让文件标明的出让面积差异率在</w:t>
      </w:r>
      <w:r>
        <w:rPr>
          <w:rFonts w:ascii="仿宋" w:hAnsi="仿宋" w:eastAsia="仿宋"/>
          <w:b w:val="0"/>
          <w:bCs w:val="0"/>
          <w:color w:val="auto"/>
          <w:kern w:val="2"/>
          <w:sz w:val="32"/>
          <w:szCs w:val="32"/>
        </w:rPr>
        <w:t>1%</w:t>
      </w:r>
      <w:r>
        <w:rPr>
          <w:rFonts w:hint="eastAsia" w:ascii="仿宋" w:hAnsi="仿宋" w:eastAsia="仿宋"/>
          <w:b w:val="0"/>
          <w:bCs w:val="0"/>
          <w:color w:val="auto"/>
          <w:kern w:val="2"/>
          <w:sz w:val="32"/>
          <w:szCs w:val="32"/>
        </w:rPr>
        <w:t>以内的，面积差异不影响成交价格。</w:t>
      </w:r>
    </w:p>
    <w:p w14:paraId="1ACC522C">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w:t>
      </w:r>
      <w:r>
        <w:rPr>
          <w:rFonts w:hint="eastAsia" w:ascii="仿宋" w:hAnsi="仿宋" w:eastAsia="仿宋"/>
          <w:b w:val="0"/>
          <w:bCs w:val="0"/>
          <w:color w:val="auto"/>
          <w:kern w:val="2"/>
          <w:sz w:val="32"/>
          <w:szCs w:val="32"/>
          <w:lang w:val="en-US" w:eastAsia="zh-CN"/>
        </w:rPr>
        <w:t>四</w:t>
      </w:r>
      <w:r>
        <w:rPr>
          <w:rFonts w:hint="eastAsia" w:ascii="仿宋" w:hAnsi="仿宋" w:eastAsia="仿宋"/>
          <w:b w:val="0"/>
          <w:bCs w:val="0"/>
          <w:color w:val="auto"/>
          <w:kern w:val="2"/>
          <w:sz w:val="32"/>
          <w:szCs w:val="32"/>
        </w:rPr>
        <w:t>）上述地块竞得人在宗地内依规划建设，连建地下建（构）筑物，使用地下建设用地使用权的，按照下列规定办理土地供应手续：</w:t>
      </w:r>
    </w:p>
    <w:p w14:paraId="232BBD32">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1.</w:t>
      </w:r>
      <w:r>
        <w:rPr>
          <w:rFonts w:hint="eastAsia" w:ascii="仿宋" w:hAnsi="仿宋" w:eastAsia="仿宋"/>
          <w:b w:val="0"/>
          <w:bCs w:val="0"/>
          <w:color w:val="auto"/>
          <w:kern w:val="2"/>
          <w:sz w:val="32"/>
          <w:szCs w:val="32"/>
        </w:rPr>
        <w:t>符合划拨用地目录的，可以划拨方式办理土地供应手续；</w:t>
      </w:r>
    </w:p>
    <w:p w14:paraId="62F01E40">
      <w:pPr>
        <w:pStyle w:val="2"/>
        <w:ind w:firstLine="640"/>
        <w:rPr>
          <w:rFonts w:ascii="仿宋" w:hAnsi="仿宋" w:eastAsia="仿宋"/>
          <w:b w:val="0"/>
          <w:bCs w:val="0"/>
          <w:color w:val="auto"/>
          <w:kern w:val="2"/>
          <w:sz w:val="32"/>
          <w:szCs w:val="32"/>
        </w:rPr>
      </w:pPr>
      <w:r>
        <w:rPr>
          <w:rFonts w:ascii="仿宋" w:hAnsi="仿宋" w:eastAsia="仿宋"/>
          <w:b w:val="0"/>
          <w:bCs w:val="0"/>
          <w:color w:val="auto"/>
          <w:kern w:val="2"/>
          <w:sz w:val="32"/>
          <w:szCs w:val="32"/>
        </w:rPr>
        <w:t xml:space="preserve"> 2.</w:t>
      </w:r>
      <w:r>
        <w:rPr>
          <w:rFonts w:hint="eastAsia" w:ascii="仿宋" w:hAnsi="仿宋" w:eastAsia="仿宋"/>
          <w:b w:val="0"/>
          <w:bCs w:val="0"/>
          <w:color w:val="auto"/>
          <w:kern w:val="2"/>
          <w:sz w:val="32"/>
          <w:szCs w:val="32"/>
        </w:rPr>
        <w:t>不符合划拨用地目录的，经依法批准以协议方式办理出让手续，按照不低于出让时相同主导功能用途、土地级别、使用年限的地上建设用地市场价标准的</w:t>
      </w:r>
      <w:r>
        <w:rPr>
          <w:rFonts w:ascii="仿宋" w:hAnsi="仿宋" w:eastAsia="仿宋"/>
          <w:b w:val="0"/>
          <w:bCs w:val="0"/>
          <w:color w:val="auto"/>
          <w:kern w:val="2"/>
          <w:sz w:val="32"/>
          <w:szCs w:val="32"/>
        </w:rPr>
        <w:t>30%</w:t>
      </w:r>
      <w:r>
        <w:rPr>
          <w:rFonts w:hint="eastAsia" w:ascii="仿宋" w:hAnsi="仿宋" w:eastAsia="仿宋"/>
          <w:b w:val="0"/>
          <w:bCs w:val="0"/>
          <w:color w:val="auto"/>
          <w:kern w:val="2"/>
          <w:sz w:val="32"/>
          <w:szCs w:val="32"/>
        </w:rPr>
        <w:t>缴纳土地出让价款。</w:t>
      </w:r>
    </w:p>
    <w:p w14:paraId="72446FB0">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eastAsia="仿宋_GB2312"/>
          <w:sz w:val="32"/>
          <w:lang w:val="en-US" w:eastAsia="zh-CN"/>
        </w:rPr>
      </w:pPr>
      <w:r>
        <w:rPr>
          <w:rFonts w:hint="eastAsia" w:eastAsia="仿宋_GB2312"/>
          <w:sz w:val="32"/>
          <w:lang w:val="en-US" w:eastAsia="zh-CN"/>
        </w:rPr>
        <w:t>五、竞买资格及要求</w:t>
      </w:r>
    </w:p>
    <w:p w14:paraId="3092671D">
      <w:pPr>
        <w:pStyle w:val="2"/>
        <w:ind w:firstLine="640"/>
        <w:rPr>
          <w:rFonts w:ascii="仿宋" w:hAnsi="仿宋" w:eastAsia="仿宋"/>
          <w:b w:val="0"/>
          <w:bCs w:val="0"/>
          <w:color w:val="auto"/>
          <w:kern w:val="2"/>
          <w:sz w:val="32"/>
          <w:szCs w:val="32"/>
        </w:rPr>
      </w:pPr>
      <w:r>
        <w:rPr>
          <w:rFonts w:hint="eastAsia" w:ascii="仿宋" w:hAnsi="仿宋" w:eastAsia="仿宋"/>
          <w:b w:val="0"/>
          <w:bCs w:val="0"/>
          <w:color w:val="auto"/>
          <w:kern w:val="2"/>
          <w:sz w:val="32"/>
          <w:szCs w:val="32"/>
        </w:rPr>
        <w:t>（一）中华人民共和国境内外的法人和其他组织均可申请参加，申请人可以单独申请，也可以联合申请</w:t>
      </w:r>
      <w:r>
        <w:rPr>
          <w:rFonts w:hint="eastAsia" w:ascii="仿宋" w:hAnsi="仿宋" w:eastAsia="仿宋"/>
          <w:b w:val="0"/>
          <w:bCs w:val="0"/>
          <w:color w:val="auto"/>
          <w:kern w:val="2"/>
          <w:sz w:val="32"/>
          <w:szCs w:val="32"/>
          <w:lang w:eastAsia="zh-CN"/>
        </w:rPr>
        <w:t>，</w:t>
      </w:r>
      <w:r>
        <w:rPr>
          <w:rFonts w:hint="eastAsia" w:ascii="仿宋" w:hAnsi="仿宋" w:eastAsia="仿宋"/>
          <w:b w:val="0"/>
          <w:bCs w:val="0"/>
          <w:color w:val="auto"/>
          <w:kern w:val="2"/>
          <w:sz w:val="32"/>
          <w:szCs w:val="32"/>
          <w:lang w:val="en-US" w:eastAsia="zh-CN"/>
        </w:rPr>
        <w:t>自然人不得申请参加土地竞买活动</w:t>
      </w:r>
      <w:r>
        <w:rPr>
          <w:rFonts w:hint="eastAsia" w:ascii="仿宋" w:hAnsi="仿宋" w:eastAsia="仿宋"/>
          <w:b w:val="0"/>
          <w:bCs w:val="0"/>
          <w:color w:val="auto"/>
          <w:kern w:val="2"/>
          <w:sz w:val="32"/>
          <w:szCs w:val="32"/>
        </w:rPr>
        <w:t>。</w:t>
      </w:r>
    </w:p>
    <w:p w14:paraId="5BC1234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14:paraId="1769605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（三）竞买申请人在参与网上挂牌交易活动期间须在“信用中国”网站（http://www.creditchina.gov.cn）无失信记录，若存在失信记录参加竞买活动的，其竞买申请为无效申请，竞买申请人自行承担相关法律后果。</w:t>
      </w:r>
    </w:p>
    <w:p w14:paraId="2715AE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四）本次国有建设用地使用权挂牌出让只能在互联网上通过大冶市政府网“招投标”栏目国有土地网上交易系统进行。只有办理数字证书、通过网上注册、足额交纳竞买保证金的申请人，才能参加网上挂牌出让活动。</w:t>
      </w:r>
    </w:p>
    <w:p w14:paraId="5B6C1A4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（五）只接受网上报名、网上竞买申请及报价。竞买人的网上竞买报价一经系统确认，不能修改或撤回。不接受电话、邮寄、书面、口头等其他方式的竞买申请和报价。</w:t>
      </w:r>
    </w:p>
    <w:p w14:paraId="76F995A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交纳竞买保证金的截止时间为2025年4月28日17时00分（收款单位：大冶市公共资源交易中心；开户行：湖北银行股份有限公司大冶支行；账号：详见业务系统中“申请成功信息”页面）竞买人必须全部接受网上挂牌出让条件和挂牌文件，并按规定交纳竞买保证金后，方可参与竞买。</w:t>
      </w:r>
    </w:p>
    <w:p w14:paraId="0D7EB2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（七）竞买人保证金必须从单位账户汇出，在网上交易系统点击“申购”,通过交易系统在2025年4月28日17时00分前,一次性足额将竞买保证金汇入我中心指定的保证金账户。</w:t>
      </w:r>
    </w:p>
    <w:p w14:paraId="05140E1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六、竞买申请</w:t>
      </w:r>
    </w:p>
    <w:p w14:paraId="3D4B620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我中心将通过互联网站(网址：http://www.hbdaye.gov.cn/)“招投标”栏目发布网上挂牌出让相关文件。有意竞买者须登陆该系统，在网上浏览或下载本次挂牌出让文件，网上挂牌出让文件具体包括：</w:t>
      </w:r>
    </w:p>
    <w:p w14:paraId="1D59027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（一）《国有建设用地使用权网上挂牌出让公告》(以下简称《出让公告》)；</w:t>
      </w:r>
    </w:p>
    <w:p w14:paraId="4757A04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（二）《国有建设用地使用权网上挂牌出让规则》(以下简称《出让规则》)；</w:t>
      </w:r>
    </w:p>
    <w:p w14:paraId="4D5072D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（三）《国有建设用地使用权网上挂牌出让须知》(以下简称《出让须知》)；</w:t>
      </w:r>
    </w:p>
    <w:p w14:paraId="6C551414">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竞买申请书；</w:t>
      </w:r>
    </w:p>
    <w:p w14:paraId="30CBC7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（五）</w:t>
      </w:r>
      <w:r>
        <w:rPr>
          <w:rFonts w:hint="eastAsia" w:eastAsia="仿宋_GB2312"/>
          <w:sz w:val="32"/>
          <w:lang w:val="en-US" w:eastAsia="zh-CN"/>
        </w:rPr>
        <w:t>挂牌出让宗地规划条件通知书；</w:t>
      </w:r>
    </w:p>
    <w:p w14:paraId="63CBD61F">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《国有建设用地网上挂牌出让成交确认书》(以下简称《成交确认书》)；</w:t>
      </w:r>
    </w:p>
    <w:p w14:paraId="38F19F1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七</w:t>
      </w:r>
      <w:r>
        <w:rPr>
          <w:rFonts w:hint="eastAsia" w:eastAsia="仿宋_GB2312"/>
          <w:sz w:val="32"/>
          <w:lang w:val="zh-CN" w:eastAsia="zh-CN"/>
        </w:rPr>
        <w:t>）</w:t>
      </w:r>
      <w:r>
        <w:rPr>
          <w:rFonts w:hint="eastAsia" w:eastAsia="仿宋_GB2312"/>
          <w:sz w:val="32"/>
          <w:lang w:val="en-US" w:eastAsia="zh-CN"/>
        </w:rPr>
        <w:t>宗地界址图；</w:t>
      </w:r>
    </w:p>
    <w:p w14:paraId="334DE5F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竞买申请及竞买保证金一经提交确认后，即视为竞买人对公开出让文件及地块现状无异议并全部接受，并对有关承诺承担法律责任。</w:t>
      </w:r>
    </w:p>
    <w:p w14:paraId="6382809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七、资格审查</w:t>
      </w:r>
    </w:p>
    <w:p w14:paraId="3F994C3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我中心通过网上挂牌出让交易系统自动确认竞买人资格。通过我中心网上挂牌出让交易系统提交竞买申请、竞买保证金，且通过交易系统资格审查的，方能取得竞买资格，网上将自动生成《竞买资格确认书》。</w:t>
      </w:r>
    </w:p>
    <w:p w14:paraId="08A7BBE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经审查，有下列情形之一的，为无效申请：</w:t>
      </w:r>
    </w:p>
    <w:p w14:paraId="12DB74DC">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（一）申请人不具备竞买资格的；</w:t>
      </w:r>
    </w:p>
    <w:p w14:paraId="2D0FECC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（二）未按规定交纳竞买保证金的；</w:t>
      </w:r>
    </w:p>
    <w:p w14:paraId="4BC23BE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（三）申请文件不齐全或不符合规定的；</w:t>
      </w:r>
    </w:p>
    <w:p w14:paraId="1682BEA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（四）法律法规规定的其他情形。</w:t>
      </w:r>
    </w:p>
    <w:p w14:paraId="2292E80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八、答疑及现场踏勘</w:t>
      </w:r>
    </w:p>
    <w:p w14:paraId="12E495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竞买人必须全面阅读有关网上挂牌出让文件，对挂牌文件及宗地现状有疑问的，可通过电话向大冶市公共资源交易中心咨询，大冶市公共资源交易中心及时就咨询事项给予答复 (咨询电话：0714--3188055)。也可向大冶市自然资源和规划局及大冶市公共资源交易中心申请组织现场踏勘。</w:t>
      </w:r>
    </w:p>
    <w:p w14:paraId="6627A49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九、本次挂牌出让活动有关时间</w:t>
      </w:r>
    </w:p>
    <w:p w14:paraId="066286F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挂牌时间为10日，具体如下：</w:t>
      </w:r>
    </w:p>
    <w:p w14:paraId="0402055A">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1、挂牌起始时间：2024年4月20日上午10时；</w:t>
      </w:r>
    </w:p>
    <w:p w14:paraId="077457F2">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2、挂牌截止时间：2025年4月30日上午10时。</w:t>
      </w:r>
    </w:p>
    <w:p w14:paraId="7684730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十、挂牌程序</w:t>
      </w:r>
    </w:p>
    <w:p w14:paraId="19274B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（一）在中国土地市场网、黄石市公共资源交易中心网、大冶市政府网、《今日大冶》等网站和媒体发布网上挂牌出让公告、出让宗地相关信息；</w:t>
      </w:r>
    </w:p>
    <w:p w14:paraId="5477EAC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（二）在挂牌期内，有意竞买者通过注册申请并缴纳竞买保证金至指定账户后，取得竞买资格；</w:t>
      </w:r>
    </w:p>
    <w:p w14:paraId="3175E475">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（三）竞买人在挂牌期内参与竞买，报价经系统确认无误后即显示为当前报价；</w:t>
      </w:r>
    </w:p>
    <w:p w14:paraId="422F45DB">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网上交易系统根据挂牌截止时的最高报价且不低于底价的自动确定竞得人，竞得人可以下载系统生成的《成交确认书》及相关文件。</w:t>
      </w:r>
    </w:p>
    <w:p w14:paraId="5DF6318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（五）出让结果公布</w:t>
      </w:r>
    </w:p>
    <w:p w14:paraId="366742A7">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大冶市公共资源交易中心将在此次国有建设用地使用权挂牌出让活动结束后10个工作日内，在中国土地市场网、黄石市公共资源交易中心网、</w:t>
      </w:r>
      <w:r>
        <w:rPr>
          <w:rFonts w:hint="eastAsia" w:eastAsia="仿宋_GB2312"/>
          <w:sz w:val="32"/>
          <w:lang w:val="en-US" w:eastAsia="zh-CN"/>
        </w:rPr>
        <w:t>大冶市政府网等网站</w:t>
      </w:r>
      <w:r>
        <w:rPr>
          <w:rFonts w:hint="eastAsia" w:eastAsia="仿宋_GB2312"/>
          <w:sz w:val="32"/>
          <w:lang w:val="zh-CN" w:eastAsia="zh-CN"/>
        </w:rPr>
        <w:t>上公布本次国有建设用地使用权网上挂牌出让结果。</w:t>
      </w:r>
    </w:p>
    <w:p w14:paraId="30FFC47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本次网上挂牌出让交易的报价规则详见大冶市政府网“招投标”栏目国有土地网上交易系统上发布的《交易规则》第四章、第五章。</w:t>
      </w:r>
    </w:p>
    <w:p w14:paraId="693825A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default" w:eastAsia="仿宋_GB2312"/>
          <w:sz w:val="32"/>
          <w:lang w:val="en-US" w:eastAsia="zh-CN"/>
        </w:rPr>
      </w:pPr>
      <w:r>
        <w:rPr>
          <w:rFonts w:hint="eastAsia" w:eastAsia="仿宋_GB2312"/>
          <w:sz w:val="32"/>
          <w:lang w:val="en-US" w:eastAsia="zh-CN"/>
        </w:rPr>
        <w:t>十一、宗地竞买保证金、起始价、增价幅度及报价</w:t>
      </w:r>
    </w:p>
    <w:p w14:paraId="0A94C6F1">
      <w:pPr>
        <w:spacing w:line="540" w:lineRule="exact"/>
        <w:ind w:firstLine="640" w:firstLineChars="200"/>
        <w:rPr>
          <w:rFonts w:ascii="仿宋" w:hAnsi="仿宋" w:eastAsia="仿宋"/>
          <w:sz w:val="32"/>
        </w:rPr>
      </w:pPr>
      <w:r>
        <w:rPr>
          <w:rFonts w:hint="eastAsia" w:eastAsia="仿宋_GB2312"/>
          <w:sz w:val="32"/>
          <w:lang w:val="en-US" w:eastAsia="zh-CN"/>
        </w:rPr>
        <w:t>（一）</w:t>
      </w:r>
      <w:r>
        <w:rPr>
          <w:rFonts w:hint="eastAsia" w:ascii="仿宋" w:hAnsi="仿宋" w:eastAsia="仿宋"/>
          <w:sz w:val="32"/>
        </w:rPr>
        <w:t>各宗地的竞买保证金分别为：</w:t>
      </w:r>
    </w:p>
    <w:p w14:paraId="7E704659">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G24038号地块为</w:t>
      </w:r>
      <w:r>
        <w:rPr>
          <w:rFonts w:hint="eastAsia" w:ascii="仿宋" w:hAnsi="仿宋" w:eastAsia="仿宋"/>
          <w:sz w:val="32"/>
          <w:szCs w:val="44"/>
        </w:rPr>
        <w:t>人民币大写</w:t>
      </w:r>
      <w:r>
        <w:rPr>
          <w:rFonts w:hint="eastAsia" w:ascii="仿宋" w:hAnsi="仿宋" w:eastAsia="仿宋"/>
          <w:sz w:val="32"/>
          <w:szCs w:val="44"/>
          <w:lang w:val="en-US" w:eastAsia="zh-CN"/>
        </w:rPr>
        <w:t>陆拾伍万元整（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65</w:t>
      </w:r>
      <w:r>
        <w:rPr>
          <w:rFonts w:ascii="仿宋" w:hAnsi="仿宋" w:eastAsia="仿宋"/>
          <w:sz w:val="32"/>
          <w:szCs w:val="44"/>
        </w:rPr>
        <w:t>0000.00</w:t>
      </w:r>
      <w:r>
        <w:rPr>
          <w:rFonts w:hint="eastAsia" w:ascii="仿宋" w:hAnsi="仿宋" w:eastAsia="仿宋"/>
          <w:sz w:val="32"/>
          <w:szCs w:val="44"/>
          <w:lang w:val="en-US" w:eastAsia="zh-CN"/>
        </w:rPr>
        <w:t>）；</w:t>
      </w:r>
    </w:p>
    <w:p w14:paraId="48A97136">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G25014号地块为</w:t>
      </w:r>
      <w:r>
        <w:rPr>
          <w:rFonts w:hint="eastAsia" w:ascii="仿宋" w:hAnsi="仿宋" w:eastAsia="仿宋"/>
          <w:sz w:val="32"/>
          <w:szCs w:val="44"/>
        </w:rPr>
        <w:t>人民币大写</w:t>
      </w:r>
      <w:r>
        <w:rPr>
          <w:rFonts w:hint="eastAsia" w:ascii="仿宋" w:hAnsi="仿宋" w:eastAsia="仿宋"/>
          <w:sz w:val="32"/>
          <w:szCs w:val="44"/>
          <w:lang w:val="en-US" w:eastAsia="zh-CN"/>
        </w:rPr>
        <w:t>贰佰肆拾万元整（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240</w:t>
      </w:r>
      <w:r>
        <w:rPr>
          <w:rFonts w:ascii="仿宋" w:hAnsi="仿宋" w:eastAsia="仿宋"/>
          <w:sz w:val="32"/>
          <w:szCs w:val="44"/>
        </w:rPr>
        <w:t>0000.00</w:t>
      </w:r>
      <w:r>
        <w:rPr>
          <w:rFonts w:hint="eastAsia" w:ascii="仿宋" w:hAnsi="仿宋" w:eastAsia="仿宋"/>
          <w:sz w:val="32"/>
          <w:szCs w:val="44"/>
          <w:lang w:val="en-US" w:eastAsia="zh-CN"/>
        </w:rPr>
        <w:t>）；</w:t>
      </w:r>
    </w:p>
    <w:p w14:paraId="2A46CD72">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G25015号地块为</w:t>
      </w:r>
      <w:r>
        <w:rPr>
          <w:rFonts w:hint="eastAsia" w:ascii="仿宋" w:hAnsi="仿宋" w:eastAsia="仿宋"/>
          <w:sz w:val="32"/>
          <w:szCs w:val="44"/>
        </w:rPr>
        <w:t>人民币大写</w:t>
      </w:r>
      <w:r>
        <w:rPr>
          <w:rFonts w:hint="eastAsia" w:ascii="仿宋" w:hAnsi="仿宋" w:eastAsia="仿宋"/>
          <w:sz w:val="32"/>
          <w:szCs w:val="44"/>
          <w:lang w:val="en-US" w:eastAsia="zh-CN"/>
        </w:rPr>
        <w:t>壹仟零陆拾万元整（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1060</w:t>
      </w:r>
      <w:r>
        <w:rPr>
          <w:rFonts w:ascii="仿宋" w:hAnsi="仿宋" w:eastAsia="仿宋"/>
          <w:sz w:val="32"/>
          <w:szCs w:val="44"/>
        </w:rPr>
        <w:t>0000.00</w:t>
      </w:r>
      <w:r>
        <w:rPr>
          <w:rFonts w:hint="eastAsia" w:ascii="仿宋" w:hAnsi="仿宋" w:eastAsia="仿宋"/>
          <w:sz w:val="32"/>
          <w:szCs w:val="44"/>
          <w:lang w:val="en-US" w:eastAsia="zh-CN"/>
        </w:rPr>
        <w:t>）；</w:t>
      </w:r>
    </w:p>
    <w:p w14:paraId="3164CCC3">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G25016号地块为</w:t>
      </w:r>
      <w:r>
        <w:rPr>
          <w:rFonts w:hint="eastAsia" w:ascii="仿宋" w:hAnsi="仿宋" w:eastAsia="仿宋"/>
          <w:sz w:val="32"/>
          <w:szCs w:val="44"/>
        </w:rPr>
        <w:t>人民币大写</w:t>
      </w:r>
      <w:r>
        <w:rPr>
          <w:rFonts w:hint="eastAsia" w:ascii="仿宋" w:hAnsi="仿宋" w:eastAsia="仿宋"/>
          <w:sz w:val="32"/>
          <w:szCs w:val="44"/>
          <w:lang w:val="en-US" w:eastAsia="zh-CN"/>
        </w:rPr>
        <w:t>陆佰玖拾陆万元整（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696</w:t>
      </w:r>
      <w:r>
        <w:rPr>
          <w:rFonts w:ascii="仿宋" w:hAnsi="仿宋" w:eastAsia="仿宋"/>
          <w:sz w:val="32"/>
          <w:szCs w:val="44"/>
        </w:rPr>
        <w:t>0000.00</w:t>
      </w:r>
      <w:r>
        <w:rPr>
          <w:rFonts w:hint="eastAsia" w:ascii="仿宋" w:hAnsi="仿宋" w:eastAsia="仿宋"/>
          <w:sz w:val="32"/>
          <w:szCs w:val="44"/>
          <w:lang w:val="en-US" w:eastAsia="zh-CN"/>
        </w:rPr>
        <w:t>）；</w:t>
      </w:r>
    </w:p>
    <w:p w14:paraId="24583BDA">
      <w:pPr>
        <w:spacing w:line="540" w:lineRule="exact"/>
        <w:ind w:firstLine="640" w:firstLineChars="200"/>
        <w:rPr>
          <w:rFonts w:hint="eastAsia" w:ascii="仿宋" w:hAnsi="仿宋" w:eastAsia="仿宋"/>
          <w:sz w:val="32"/>
          <w:szCs w:val="44"/>
          <w:lang w:val="en-US" w:eastAsia="zh-CN"/>
        </w:rPr>
      </w:pPr>
      <w:r>
        <w:rPr>
          <w:rFonts w:hint="eastAsia" w:ascii="仿宋" w:hAnsi="仿宋" w:eastAsia="仿宋"/>
          <w:sz w:val="32"/>
          <w:szCs w:val="44"/>
          <w:lang w:val="en-US" w:eastAsia="zh-CN"/>
        </w:rPr>
        <w:t>G25017号地块为</w:t>
      </w:r>
      <w:r>
        <w:rPr>
          <w:rFonts w:hint="eastAsia" w:ascii="仿宋" w:hAnsi="仿宋" w:eastAsia="仿宋"/>
          <w:sz w:val="32"/>
          <w:szCs w:val="44"/>
        </w:rPr>
        <w:t>人民币大写</w:t>
      </w:r>
      <w:r>
        <w:rPr>
          <w:rFonts w:hint="eastAsia" w:ascii="仿宋" w:hAnsi="仿宋" w:eastAsia="仿宋"/>
          <w:sz w:val="32"/>
          <w:szCs w:val="44"/>
          <w:lang w:val="en-US" w:eastAsia="zh-CN"/>
        </w:rPr>
        <w:t>壹仟叁佰万元整（</w:t>
      </w:r>
      <w:r>
        <w:rPr>
          <w:rFonts w:hint="eastAsia" w:ascii="仿宋" w:hAnsi="仿宋" w:eastAsia="仿宋"/>
          <w:sz w:val="32"/>
          <w:szCs w:val="44"/>
        </w:rPr>
        <w:t>￥</w:t>
      </w:r>
      <w:r>
        <w:rPr>
          <w:rFonts w:hint="eastAsia" w:ascii="仿宋" w:hAnsi="仿宋" w:eastAsia="仿宋"/>
          <w:sz w:val="32"/>
          <w:szCs w:val="44"/>
          <w:lang w:eastAsia="zh-CN"/>
        </w:rPr>
        <w:t>：</w:t>
      </w:r>
      <w:r>
        <w:rPr>
          <w:rFonts w:hint="eastAsia" w:ascii="仿宋" w:hAnsi="仿宋" w:eastAsia="仿宋"/>
          <w:sz w:val="32"/>
          <w:szCs w:val="44"/>
          <w:lang w:val="en-US" w:eastAsia="zh-CN"/>
        </w:rPr>
        <w:t>1300</w:t>
      </w:r>
      <w:r>
        <w:rPr>
          <w:rFonts w:ascii="仿宋" w:hAnsi="仿宋" w:eastAsia="仿宋"/>
          <w:sz w:val="32"/>
          <w:szCs w:val="44"/>
        </w:rPr>
        <w:t>0000.00</w:t>
      </w:r>
      <w:r>
        <w:rPr>
          <w:rFonts w:hint="eastAsia" w:ascii="仿宋" w:hAnsi="仿宋" w:eastAsia="仿宋"/>
          <w:sz w:val="32"/>
          <w:szCs w:val="44"/>
          <w:lang w:val="en-US" w:eastAsia="zh-CN"/>
        </w:rPr>
        <w:t>）。</w:t>
      </w:r>
    </w:p>
    <w:p w14:paraId="4D8A73D0">
      <w:pPr>
        <w:numPr>
          <w:ilvl w:val="0"/>
          <w:numId w:val="0"/>
        </w:numPr>
        <w:spacing w:line="540" w:lineRule="exact"/>
        <w:rPr>
          <w:rFonts w:ascii="仿宋" w:hAnsi="仿宋" w:eastAsia="仿宋"/>
          <w:sz w:val="32"/>
        </w:rPr>
      </w:pPr>
      <w:r>
        <w:rPr>
          <w:rFonts w:hint="eastAsia" w:eastAsia="仿宋_GB2312"/>
          <w:sz w:val="32"/>
          <w:lang w:val="en-US" w:eastAsia="zh-CN"/>
        </w:rPr>
        <w:t>（二）</w:t>
      </w:r>
      <w:r>
        <w:rPr>
          <w:rFonts w:hint="eastAsia" w:ascii="仿宋" w:hAnsi="仿宋" w:eastAsia="仿宋"/>
          <w:sz w:val="32"/>
        </w:rPr>
        <w:t>各宗地的出让起始价、增价幅度</w:t>
      </w:r>
      <w:r>
        <w:rPr>
          <w:rFonts w:ascii="仿宋" w:hAnsi="仿宋" w:eastAsia="仿宋"/>
          <w:sz w:val="32"/>
        </w:rPr>
        <w:t xml:space="preserve"> </w:t>
      </w:r>
    </w:p>
    <w:p w14:paraId="143328B7">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G24038</w:t>
      </w:r>
      <w:r>
        <w:rPr>
          <w:rFonts w:hint="eastAsia" w:ascii="仿宋" w:hAnsi="仿宋" w:eastAsia="仿宋"/>
          <w:sz w:val="32"/>
        </w:rPr>
        <w:t>号地块：出让起始价为人民币大写</w:t>
      </w:r>
      <w:r>
        <w:rPr>
          <w:rFonts w:hint="eastAsia" w:ascii="仿宋" w:hAnsi="仿宋" w:eastAsia="仿宋"/>
          <w:sz w:val="32"/>
          <w:lang w:val="en-US" w:eastAsia="zh-CN"/>
        </w:rPr>
        <w:t>壹佰叁拾</w:t>
      </w:r>
      <w:r>
        <w:rPr>
          <w:rFonts w:hint="eastAsia" w:ascii="仿宋" w:hAnsi="仿宋" w:eastAsia="仿宋"/>
          <w:sz w:val="32"/>
        </w:rPr>
        <w:t>万元整（￥</w:t>
      </w:r>
      <w:r>
        <w:rPr>
          <w:rFonts w:hint="eastAsia" w:ascii="仿宋" w:hAnsi="仿宋" w:eastAsia="仿宋"/>
          <w:sz w:val="32"/>
          <w:lang w:val="en-US" w:eastAsia="zh-CN"/>
        </w:rPr>
        <w:t>1300</w:t>
      </w:r>
      <w:r>
        <w:rPr>
          <w:rFonts w:ascii="仿宋" w:hAnsi="仿宋" w:eastAsia="仿宋"/>
          <w:sz w:val="32"/>
        </w:rPr>
        <w:t>000.00</w:t>
      </w:r>
      <w:r>
        <w:rPr>
          <w:rFonts w:hint="eastAsia" w:ascii="仿宋" w:hAnsi="仿宋" w:eastAsia="仿宋"/>
          <w:sz w:val="32"/>
        </w:rPr>
        <w:t>），增价幅度为人民币大写壹拾万元或壹拾万元的整倍数；</w:t>
      </w:r>
    </w:p>
    <w:p w14:paraId="61307A36">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G25014</w:t>
      </w:r>
      <w:r>
        <w:rPr>
          <w:rFonts w:hint="eastAsia" w:ascii="仿宋" w:hAnsi="仿宋" w:eastAsia="仿宋"/>
          <w:sz w:val="32"/>
        </w:rPr>
        <w:t>号地块：出让起始价为人民币大写</w:t>
      </w:r>
      <w:r>
        <w:rPr>
          <w:rFonts w:hint="eastAsia" w:ascii="仿宋" w:hAnsi="仿宋" w:eastAsia="仿宋"/>
          <w:sz w:val="32"/>
          <w:lang w:val="en-US" w:eastAsia="zh-CN"/>
        </w:rPr>
        <w:t>肆佰捌拾</w:t>
      </w:r>
      <w:r>
        <w:rPr>
          <w:rFonts w:hint="eastAsia" w:ascii="仿宋" w:hAnsi="仿宋" w:eastAsia="仿宋"/>
          <w:sz w:val="32"/>
        </w:rPr>
        <w:t>万元整（￥</w:t>
      </w:r>
      <w:r>
        <w:rPr>
          <w:rFonts w:hint="eastAsia" w:ascii="仿宋" w:hAnsi="仿宋" w:eastAsia="仿宋"/>
          <w:sz w:val="32"/>
          <w:lang w:val="en-US" w:eastAsia="zh-CN"/>
        </w:rPr>
        <w:t>4800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098DFEF9">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G25015</w:t>
      </w:r>
      <w:r>
        <w:rPr>
          <w:rFonts w:hint="eastAsia" w:ascii="仿宋" w:hAnsi="仿宋" w:eastAsia="仿宋"/>
          <w:sz w:val="32"/>
        </w:rPr>
        <w:t>号地块：出让起始价为人民币大写</w:t>
      </w:r>
      <w:r>
        <w:rPr>
          <w:rFonts w:hint="eastAsia" w:ascii="仿宋" w:hAnsi="仿宋" w:eastAsia="仿宋"/>
          <w:sz w:val="32"/>
          <w:lang w:val="en-US" w:eastAsia="zh-CN"/>
        </w:rPr>
        <w:t>伍仟叁佰</w:t>
      </w:r>
      <w:r>
        <w:rPr>
          <w:rFonts w:hint="eastAsia" w:ascii="仿宋" w:hAnsi="仿宋" w:eastAsia="仿宋"/>
          <w:sz w:val="32"/>
        </w:rPr>
        <w:t>万元整（￥</w:t>
      </w:r>
      <w:r>
        <w:rPr>
          <w:rFonts w:hint="eastAsia" w:ascii="仿宋" w:hAnsi="仿宋" w:eastAsia="仿宋"/>
          <w:sz w:val="32"/>
          <w:lang w:val="en-US" w:eastAsia="zh-CN"/>
        </w:rPr>
        <w:t>53000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6B3A6BAD">
      <w:pPr>
        <w:spacing w:line="540" w:lineRule="exact"/>
        <w:ind w:firstLine="640" w:firstLineChars="200"/>
        <w:rPr>
          <w:rFonts w:hint="eastAsia" w:ascii="仿宋" w:hAnsi="仿宋" w:eastAsia="仿宋"/>
          <w:sz w:val="32"/>
          <w:lang w:eastAsia="zh-CN"/>
        </w:rPr>
      </w:pPr>
      <w:r>
        <w:rPr>
          <w:rFonts w:hint="eastAsia" w:ascii="仿宋" w:hAnsi="仿宋" w:eastAsia="仿宋"/>
          <w:sz w:val="32"/>
          <w:szCs w:val="44"/>
          <w:lang w:val="en-US" w:eastAsia="zh-CN"/>
        </w:rPr>
        <w:t>G25016</w:t>
      </w:r>
      <w:r>
        <w:rPr>
          <w:rFonts w:hint="eastAsia" w:ascii="仿宋" w:hAnsi="仿宋" w:eastAsia="仿宋"/>
          <w:sz w:val="32"/>
        </w:rPr>
        <w:t>号地块：出让起始价为人民币大写</w:t>
      </w:r>
      <w:r>
        <w:rPr>
          <w:rFonts w:hint="eastAsia" w:ascii="仿宋" w:hAnsi="仿宋" w:eastAsia="仿宋"/>
          <w:sz w:val="32"/>
          <w:lang w:val="en-US" w:eastAsia="zh-CN"/>
        </w:rPr>
        <w:t>叁仟肆佰捌拾</w:t>
      </w:r>
      <w:r>
        <w:rPr>
          <w:rFonts w:hint="eastAsia" w:ascii="仿宋" w:hAnsi="仿宋" w:eastAsia="仿宋"/>
          <w:sz w:val="32"/>
        </w:rPr>
        <w:t>万元整（￥</w:t>
      </w:r>
      <w:r>
        <w:rPr>
          <w:rFonts w:hint="eastAsia" w:ascii="仿宋" w:hAnsi="仿宋" w:eastAsia="仿宋"/>
          <w:sz w:val="32"/>
          <w:lang w:val="en-US" w:eastAsia="zh-CN"/>
        </w:rPr>
        <w:t>34800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1158557A">
      <w:pPr>
        <w:spacing w:line="540" w:lineRule="exact"/>
        <w:ind w:firstLine="640" w:firstLineChars="200"/>
        <w:rPr>
          <w:rFonts w:hint="eastAsia" w:ascii="仿宋" w:hAnsi="仿宋" w:eastAsia="仿宋"/>
          <w:sz w:val="32"/>
        </w:rPr>
      </w:pPr>
      <w:r>
        <w:rPr>
          <w:rFonts w:hint="eastAsia" w:ascii="仿宋" w:hAnsi="仿宋" w:eastAsia="仿宋"/>
          <w:sz w:val="32"/>
          <w:szCs w:val="44"/>
          <w:lang w:val="en-US" w:eastAsia="zh-CN"/>
        </w:rPr>
        <w:t>G25017</w:t>
      </w:r>
      <w:r>
        <w:rPr>
          <w:rFonts w:hint="eastAsia" w:ascii="仿宋" w:hAnsi="仿宋" w:eastAsia="仿宋"/>
          <w:sz w:val="32"/>
        </w:rPr>
        <w:t>号地块：出让起始价为人民币大写</w:t>
      </w:r>
      <w:r>
        <w:rPr>
          <w:rFonts w:hint="eastAsia" w:ascii="仿宋" w:hAnsi="仿宋" w:eastAsia="仿宋"/>
          <w:sz w:val="32"/>
          <w:lang w:val="en-US" w:eastAsia="zh-CN"/>
        </w:rPr>
        <w:t>贰仟陆佰</w:t>
      </w:r>
      <w:r>
        <w:rPr>
          <w:rFonts w:hint="eastAsia" w:ascii="仿宋" w:hAnsi="仿宋" w:eastAsia="仿宋"/>
          <w:sz w:val="32"/>
        </w:rPr>
        <w:t>万元整（￥</w:t>
      </w:r>
      <w:r>
        <w:rPr>
          <w:rFonts w:hint="eastAsia" w:ascii="仿宋" w:hAnsi="仿宋" w:eastAsia="仿宋"/>
          <w:sz w:val="32"/>
          <w:lang w:val="en-US" w:eastAsia="zh-CN"/>
        </w:rPr>
        <w:t>26000</w:t>
      </w:r>
      <w:r>
        <w:rPr>
          <w:rFonts w:ascii="仿宋" w:hAnsi="仿宋" w:eastAsia="仿宋"/>
          <w:sz w:val="32"/>
        </w:rPr>
        <w:t>000.00</w:t>
      </w:r>
      <w:r>
        <w:rPr>
          <w:rFonts w:hint="eastAsia" w:ascii="仿宋" w:hAnsi="仿宋" w:eastAsia="仿宋"/>
          <w:sz w:val="32"/>
        </w:rPr>
        <w:t>），增价幅度为人民币大写壹拾万元或壹拾万元的整倍数</w:t>
      </w:r>
      <w:r>
        <w:rPr>
          <w:rFonts w:hint="eastAsia" w:ascii="仿宋" w:hAnsi="仿宋" w:eastAsia="仿宋"/>
          <w:sz w:val="32"/>
          <w:lang w:eastAsia="zh-CN"/>
        </w:rPr>
        <w:t>。</w:t>
      </w:r>
    </w:p>
    <w:p w14:paraId="5FEFEA64">
      <w:pPr>
        <w:spacing w:line="540" w:lineRule="exact"/>
        <w:ind w:firstLine="640" w:firstLineChars="200"/>
        <w:rPr>
          <w:rFonts w:hint="eastAsia" w:eastAsia="仿宋_GB2312"/>
          <w:sz w:val="32"/>
          <w:lang w:val="zh-CN" w:eastAsia="zh-CN"/>
        </w:rPr>
      </w:pPr>
      <w:r>
        <w:rPr>
          <w:rFonts w:hint="eastAsia" w:eastAsia="仿宋_GB2312"/>
          <w:sz w:val="32"/>
          <w:lang w:val="en-US" w:eastAsia="zh-CN"/>
        </w:rPr>
        <w:t>（三）</w:t>
      </w:r>
      <w:r>
        <w:rPr>
          <w:rFonts w:hint="eastAsia" w:eastAsia="仿宋_GB2312"/>
          <w:sz w:val="32"/>
          <w:lang w:val="zh-CN" w:eastAsia="zh-CN"/>
        </w:rPr>
        <w:t>在报价期间，竞买人可多次报价。</w:t>
      </w:r>
    </w:p>
    <w:p w14:paraId="40288268">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（四）竞买人通过系统提交的报价一经报出，不得撤回。</w:t>
      </w:r>
    </w:p>
    <w:p w14:paraId="6ADD52E6">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（五）竞买人报价有下列情形之一的，为无效报价：</w:t>
      </w:r>
    </w:p>
    <w:p w14:paraId="209155E0">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1、报价因竞买人网络故障未在挂牌报价期限内报价的；</w:t>
      </w:r>
    </w:p>
    <w:p w14:paraId="53FBB843">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2、报价不符合报价规则的；</w:t>
      </w:r>
    </w:p>
    <w:p w14:paraId="4448F8BD">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3、报价与竞买文件不符的；</w:t>
      </w:r>
    </w:p>
    <w:p w14:paraId="3673D349">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4、报价不符合挂牌文件规定的其他情形的。</w:t>
      </w:r>
    </w:p>
    <w:p w14:paraId="062B291E">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十二、注意事项</w:t>
      </w:r>
    </w:p>
    <w:p w14:paraId="5A63CA1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挂牌期满，网上挂牌出让成交确认系统根据下列条件自动确定竞得人：</w:t>
      </w:r>
    </w:p>
    <w:p w14:paraId="44CAA4E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（一）在挂牌期限内，只有一个竞买人报价，且报价等于或高于底价，挂牌成交；</w:t>
      </w:r>
    </w:p>
    <w:p w14:paraId="14058F8B">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（二）在挂牌期限内，有两个或者两个以上竞买人报价的，报价等于或高于底价，且出价最高者为竞得人；</w:t>
      </w:r>
    </w:p>
    <w:p w14:paraId="4DCC6A88">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（三）在挂牌期限内，无应价者或竞买人的报价均低于底价的，挂牌不成交；</w:t>
      </w:r>
    </w:p>
    <w:p w14:paraId="015010C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（四）</w:t>
      </w:r>
      <w:r>
        <w:rPr>
          <w:rFonts w:hint="eastAsia" w:eastAsia="仿宋_GB2312"/>
          <w:sz w:val="32"/>
          <w:lang w:val="en-US" w:eastAsia="zh-CN"/>
        </w:rPr>
        <w:t>在挂牌期限截止前10分钟，竞买人必须在挂牌报价期间最少有一次报价，才能进入最后的限时报价；</w:t>
      </w:r>
    </w:p>
    <w:p w14:paraId="6A8352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五</w:t>
      </w:r>
      <w:r>
        <w:rPr>
          <w:rFonts w:hint="eastAsia" w:eastAsia="仿宋_GB2312"/>
          <w:sz w:val="32"/>
          <w:lang w:val="zh-CN" w:eastAsia="zh-CN"/>
        </w:rPr>
        <w:t>）</w:t>
      </w:r>
      <w:r>
        <w:rPr>
          <w:rFonts w:hint="eastAsia" w:eastAsia="仿宋_GB2312"/>
          <w:sz w:val="32"/>
          <w:lang w:val="en-US" w:eastAsia="zh-CN"/>
        </w:rPr>
        <w:t>在挂牌期限截止时前10分钟内仍有竞买人报价的，将对挂牌宗地进行网上限时竞价，报价最高且报价等于或高于底价者为竞得人。</w:t>
      </w:r>
    </w:p>
    <w:p w14:paraId="7B5D9D9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六</w:t>
      </w:r>
      <w:r>
        <w:rPr>
          <w:rFonts w:hint="eastAsia" w:eastAsia="仿宋_GB2312"/>
          <w:sz w:val="32"/>
          <w:lang w:val="zh-CN" w:eastAsia="zh-CN"/>
        </w:rPr>
        <w:t>）</w:t>
      </w:r>
      <w:r>
        <w:rPr>
          <w:rFonts w:hint="eastAsia" w:eastAsia="仿宋_GB2312"/>
          <w:sz w:val="32"/>
          <w:lang w:val="en-US" w:eastAsia="zh-CN"/>
        </w:rPr>
        <w:t>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14:paraId="6A9A284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七）申请人竞得土地后，拟成立新公司进行开发建设的，应在申请书中明确新公司的出资构成、成立时间等内容。大冶市自然资源和规划局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14:paraId="5B81C6A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大冶市自然资源和规划局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14:paraId="606CDDA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（八）本次公开出让地块均设有出让底价，在公开出让活动结束前须严格保密。</w:t>
      </w:r>
    </w:p>
    <w:p w14:paraId="0B7A2DC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九）网上挂牌出让结果公布后，竞得人应当在3个工作日内持有关资料原件与大冶市自然资源和规划局签订《成交确认书》，委托人代签的，应提交法定代表人亲笔签名并盖章的授权委托书。《成交确认书》对出让人和竞得人具有法律效力，出让人改变公开出让结果的，或者竞得人放弃竞得宗地的，应当承担法律效力。</w:t>
      </w:r>
    </w:p>
    <w:p w14:paraId="05F9FA5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（十）竞得人的竞买保证金转作受让地块的定金；未竞得人的竞买保证金将于网上挂牌活动结束后5个工作日内不计利息全额退还。</w:t>
      </w:r>
    </w:p>
    <w:p w14:paraId="5C27D82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十一</w:t>
      </w:r>
      <w:r>
        <w:rPr>
          <w:rFonts w:hint="eastAsia" w:eastAsia="仿宋_GB2312"/>
          <w:sz w:val="32"/>
          <w:lang w:val="zh-CN" w:eastAsia="zh-CN"/>
        </w:rPr>
        <w:t>）有下列情形之一的，大冶市公共资源交易中心将中（终）止挂牌活动：</w:t>
      </w:r>
    </w:p>
    <w:p w14:paraId="2F999514">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1、因系统遭受破坏或发生电力、网络故障等不可抗力以及网络恶意入侵等非挂牌人因素，导致系统不能正常运行的；</w:t>
      </w:r>
    </w:p>
    <w:p w14:paraId="3CF7D26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2、竞买人串通损害国家利益、社会利益或他人合法权益的；</w:t>
      </w:r>
    </w:p>
    <w:p w14:paraId="024F632E">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3、出让工作人员私下接触竞买人，足以影响公开出让公正性的；</w:t>
      </w:r>
    </w:p>
    <w:p w14:paraId="698411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4、应当依法中（终）止公开出让活动的其他情形。</w:t>
      </w:r>
    </w:p>
    <w:p w14:paraId="4AFC24AF">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w:t>
      </w:r>
      <w:r>
        <w:rPr>
          <w:rFonts w:hint="eastAsia" w:eastAsia="仿宋_GB2312"/>
          <w:sz w:val="32"/>
          <w:lang w:val="en-US" w:eastAsia="zh-CN"/>
        </w:rPr>
        <w:t>十二</w:t>
      </w:r>
      <w:r>
        <w:rPr>
          <w:rFonts w:hint="eastAsia" w:eastAsia="仿宋_GB2312"/>
          <w:sz w:val="32"/>
          <w:lang w:val="zh-CN" w:eastAsia="zh-CN"/>
        </w:rPr>
        <w:t>）竞得人有下列行为的视为违约，视为违约，出让人可取消其竞得人资格，竞买保证金不予退还：</w:t>
      </w:r>
    </w:p>
    <w:p w14:paraId="4B15187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1、竞得人逾期或拒绝签订《成交确认书》的；</w:t>
      </w:r>
    </w:p>
    <w:p w14:paraId="2D038275">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2、竞得人逾期或拒绝签订《国有建设用地使用权出让合同》的；</w:t>
      </w:r>
    </w:p>
    <w:p w14:paraId="759FE45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w:t>
      </w:r>
      <w:r>
        <w:rPr>
          <w:rFonts w:hint="eastAsia" w:eastAsia="仿宋_GB2312"/>
          <w:sz w:val="32"/>
          <w:lang w:val="en-US" w:eastAsia="zh-CN"/>
        </w:rPr>
        <w:t>十三</w:t>
      </w:r>
      <w:r>
        <w:rPr>
          <w:rFonts w:hint="eastAsia" w:eastAsia="仿宋_GB2312"/>
          <w:sz w:val="32"/>
          <w:lang w:val="zh-CN" w:eastAsia="zh-CN"/>
        </w:rPr>
        <w:t>）竞得人有下列行为之一的，竞得结果无效，造成损失的，应当依法承担赔偿责任：</w:t>
      </w:r>
    </w:p>
    <w:p w14:paraId="3D7F77D3">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1、采取行贿、恶意串通等非法手段竞得的；</w:t>
      </w:r>
    </w:p>
    <w:p w14:paraId="6D5A3070">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2、提供的注册信息不真实、不准确、不完整等原因造成宗地出让无法成交的；</w:t>
      </w:r>
    </w:p>
    <w:p w14:paraId="4A7DE079">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3、不按网上注册时登记的内容提供有关文件材料，或提供虚假文件材料、隐瞒事实，引起出让纠纷的；</w:t>
      </w:r>
    </w:p>
    <w:p w14:paraId="08BF7306">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4、构成违约责任的其他行为。</w:t>
      </w:r>
    </w:p>
    <w:p w14:paraId="4C23040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en-US" w:eastAsia="zh-CN"/>
        </w:rPr>
        <w:t>（十四）上述宗地出让成交价为宗地的总地价款。</w:t>
      </w:r>
    </w:p>
    <w:p w14:paraId="47A0B4B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en-US" w:eastAsia="zh-CN"/>
        </w:rPr>
        <w:t>（十</w:t>
      </w:r>
      <w:r>
        <w:rPr>
          <w:rFonts w:hint="eastAsia" w:eastAsia="仿宋_GB2312"/>
          <w:sz w:val="32"/>
          <w:lang w:val="zh-CN" w:eastAsia="zh-CN"/>
        </w:rPr>
        <w:t>五</w:t>
      </w:r>
      <w:r>
        <w:rPr>
          <w:rFonts w:hint="eastAsia" w:eastAsia="仿宋_GB2312"/>
          <w:sz w:val="32"/>
          <w:lang w:val="en-US" w:eastAsia="zh-CN"/>
        </w:rPr>
        <w:t>）竞得人与出让人签订</w:t>
      </w:r>
      <w:r>
        <w:rPr>
          <w:rFonts w:hint="eastAsia" w:eastAsia="仿宋_GB2312"/>
          <w:sz w:val="32"/>
          <w:lang w:val="zh-CN" w:eastAsia="zh-CN"/>
        </w:rPr>
        <w:t>《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w:t>
      </w:r>
    </w:p>
    <w:p w14:paraId="577E75D1">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（十六）公开出让不成交的，应当按规定由大冶市公共资源交易中心重新组织出让。</w:t>
      </w:r>
    </w:p>
    <w:p w14:paraId="3B257A8A">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zh-CN" w:eastAsia="zh-CN"/>
        </w:rPr>
      </w:pPr>
      <w:r>
        <w:rPr>
          <w:rFonts w:hint="eastAsia" w:eastAsia="仿宋_GB2312"/>
          <w:sz w:val="32"/>
          <w:lang w:val="zh-CN" w:eastAsia="zh-CN"/>
        </w:rPr>
        <w:t>（十七）参加公开出让活动的人员，应遵守现场的纪律，服从管理人员的管理。</w:t>
      </w:r>
    </w:p>
    <w:p w14:paraId="76B838BD">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eastAsia="仿宋_GB2312"/>
          <w:sz w:val="32"/>
          <w:lang w:val="en-US" w:eastAsia="zh-CN"/>
        </w:rPr>
      </w:pPr>
      <w:r>
        <w:rPr>
          <w:rFonts w:hint="eastAsia" w:eastAsia="仿宋_GB2312"/>
          <w:sz w:val="32"/>
          <w:lang w:val="zh-CN" w:eastAsia="zh-CN"/>
        </w:rPr>
        <w:t>（十</w:t>
      </w:r>
      <w:r>
        <w:rPr>
          <w:rFonts w:hint="eastAsia" w:eastAsia="仿宋_GB2312"/>
          <w:sz w:val="32"/>
          <w:lang w:val="en-US" w:eastAsia="zh-CN"/>
        </w:rPr>
        <w:t>八</w:t>
      </w:r>
      <w:r>
        <w:rPr>
          <w:rFonts w:hint="eastAsia" w:eastAsia="仿宋_GB2312"/>
          <w:sz w:val="32"/>
          <w:lang w:val="zh-CN" w:eastAsia="zh-CN"/>
        </w:rPr>
        <w:t>）大冶市自然资源和规划局和大冶市公共资源交易中心对本《出让须知》有解释权。未尽事宜依照《招标拍卖挂牌出让国有土地使用权规范》办理。</w:t>
      </w:r>
    </w:p>
    <w:p w14:paraId="24F14D7A">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出让人: 大冶市自然资源和规划局</w:t>
      </w:r>
    </w:p>
    <w:p w14:paraId="1F43B588">
      <w:pPr>
        <w:keepNext w:val="0"/>
        <w:keepLines w:val="0"/>
        <w:pageBreakBefore w:val="0"/>
        <w:widowControl w:val="0"/>
        <w:kinsoku/>
        <w:wordWrap/>
        <w:overflowPunct/>
        <w:topLinePunct w:val="0"/>
        <w:autoSpaceDE/>
        <w:autoSpaceDN/>
        <w:bidi w:val="0"/>
        <w:adjustRightInd/>
        <w:snapToGrid/>
        <w:spacing w:line="440" w:lineRule="exact"/>
        <w:ind w:firstLine="3200" w:firstLineChars="1000"/>
        <w:textAlignment w:val="auto"/>
        <w:rPr>
          <w:rFonts w:hint="eastAsia" w:eastAsia="仿宋_GB2312"/>
          <w:sz w:val="32"/>
          <w:lang w:val="en-US" w:eastAsia="zh-CN"/>
        </w:rPr>
      </w:pPr>
      <w:r>
        <w:rPr>
          <w:rFonts w:hint="eastAsia" w:eastAsia="仿宋_GB2312"/>
          <w:sz w:val="32"/>
          <w:lang w:val="en-US" w:eastAsia="zh-CN"/>
        </w:rPr>
        <w:t>挂牌人：大冶市公共资源交易中心</w:t>
      </w:r>
    </w:p>
    <w:p w14:paraId="5CBAF781">
      <w:pPr>
        <w:keepNext w:val="0"/>
        <w:keepLines w:val="0"/>
        <w:pageBreakBefore w:val="0"/>
        <w:widowControl w:val="0"/>
        <w:kinsoku/>
        <w:wordWrap/>
        <w:overflowPunct/>
        <w:topLinePunct w:val="0"/>
        <w:autoSpaceDE/>
        <w:autoSpaceDN/>
        <w:bidi w:val="0"/>
        <w:adjustRightInd/>
        <w:snapToGrid/>
        <w:spacing w:line="460" w:lineRule="exact"/>
        <w:ind w:firstLine="640" w:firstLineChars="200"/>
        <w:textAlignment w:val="auto"/>
        <w:rPr>
          <w:rFonts w:hint="eastAsia" w:eastAsia="仿宋_GB2312"/>
          <w:sz w:val="32"/>
          <w:lang w:val="en-US" w:eastAsia="zh-CN"/>
        </w:rPr>
      </w:pPr>
      <w:r>
        <w:rPr>
          <w:rFonts w:hint="eastAsia" w:eastAsia="仿宋_GB2312"/>
          <w:sz w:val="32"/>
          <w:lang w:val="en-US" w:eastAsia="zh-CN"/>
        </w:rPr>
        <w:t xml:space="preserve">                          2025年3月31</w:t>
      </w:r>
      <w:bookmarkStart w:id="0" w:name="_GoBack"/>
      <w:bookmarkEnd w:id="0"/>
      <w:r>
        <w:rPr>
          <w:rFonts w:hint="eastAsia" w:eastAsia="仿宋_GB2312"/>
          <w:sz w:val="32"/>
          <w:lang w:val="en-US" w:eastAsia="zh-CN"/>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8BB4B">
    <w:pPr>
      <w:pStyle w:val="5"/>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sdt>
                    <w:sdtPr>
                      <w:id w:val="-992712992"/>
                    </w:sdtPr>
                    <w:sdtContent>
                      <w:p w14:paraId="14E41ADE">
                        <w:pPr>
                          <w:pStyle w:val="5"/>
                          <w:jc w:val="center"/>
                        </w:pPr>
                        <w:r>
                          <w:fldChar w:fldCharType="begin"/>
                        </w:r>
                        <w:r>
                          <w:instrText xml:space="preserve">PAGE   \* MERGEFORMAT</w:instrText>
                        </w:r>
                        <w:r>
                          <w:fldChar w:fldCharType="separate"/>
                        </w:r>
                        <w:r>
                          <w:rPr>
                            <w:lang w:val="zh-CN"/>
                          </w:rPr>
                          <w:t>1</w:t>
                        </w:r>
                        <w:r>
                          <w:fldChar w:fldCharType="end"/>
                        </w:r>
                      </w:p>
                    </w:sdtContent>
                  </w:sdt>
                  <w:p w14:paraId="718BB3D8"/>
                </w:txbxContent>
              </v:textbox>
            </v:shape>
          </w:pict>
        </mc:Fallback>
      </mc:AlternateContent>
    </w:r>
  </w:p>
  <w:p w14:paraId="7CDCA91D">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62411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63E1BE"/>
    <w:multiLevelType w:val="singleLevel"/>
    <w:tmpl w:val="1F63E1BE"/>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485EA7"/>
    <w:rsid w:val="00017D57"/>
    <w:rsid w:val="0004655D"/>
    <w:rsid w:val="00063C93"/>
    <w:rsid w:val="000B0193"/>
    <w:rsid w:val="000B369F"/>
    <w:rsid w:val="0013704A"/>
    <w:rsid w:val="00161710"/>
    <w:rsid w:val="00191FA6"/>
    <w:rsid w:val="001F0BC6"/>
    <w:rsid w:val="002169D1"/>
    <w:rsid w:val="00256845"/>
    <w:rsid w:val="00274595"/>
    <w:rsid w:val="00384597"/>
    <w:rsid w:val="003C2082"/>
    <w:rsid w:val="003D407D"/>
    <w:rsid w:val="004668F7"/>
    <w:rsid w:val="004707F7"/>
    <w:rsid w:val="00485EA7"/>
    <w:rsid w:val="004A7191"/>
    <w:rsid w:val="004F5862"/>
    <w:rsid w:val="00526F71"/>
    <w:rsid w:val="00537E93"/>
    <w:rsid w:val="00581546"/>
    <w:rsid w:val="0059520E"/>
    <w:rsid w:val="005E08BE"/>
    <w:rsid w:val="00651652"/>
    <w:rsid w:val="006903AF"/>
    <w:rsid w:val="006A1119"/>
    <w:rsid w:val="006E3433"/>
    <w:rsid w:val="00750654"/>
    <w:rsid w:val="00772468"/>
    <w:rsid w:val="007978A7"/>
    <w:rsid w:val="007A23C5"/>
    <w:rsid w:val="007A68C0"/>
    <w:rsid w:val="007F6B22"/>
    <w:rsid w:val="0086539F"/>
    <w:rsid w:val="008832BA"/>
    <w:rsid w:val="008F4E15"/>
    <w:rsid w:val="008F5690"/>
    <w:rsid w:val="00935A74"/>
    <w:rsid w:val="00954E25"/>
    <w:rsid w:val="009B3888"/>
    <w:rsid w:val="009B6922"/>
    <w:rsid w:val="00A07983"/>
    <w:rsid w:val="00A262DF"/>
    <w:rsid w:val="00A41AA2"/>
    <w:rsid w:val="00A61DA6"/>
    <w:rsid w:val="00A76A57"/>
    <w:rsid w:val="00A81E04"/>
    <w:rsid w:val="00AC2AE1"/>
    <w:rsid w:val="00AE3E74"/>
    <w:rsid w:val="00AE56BD"/>
    <w:rsid w:val="00B23622"/>
    <w:rsid w:val="00B3093C"/>
    <w:rsid w:val="00B31EB2"/>
    <w:rsid w:val="00B32B82"/>
    <w:rsid w:val="00B53BC3"/>
    <w:rsid w:val="00B759F5"/>
    <w:rsid w:val="00BD6DC2"/>
    <w:rsid w:val="00BF43F5"/>
    <w:rsid w:val="00BF48D1"/>
    <w:rsid w:val="00C12AC2"/>
    <w:rsid w:val="00C5453F"/>
    <w:rsid w:val="00C820DF"/>
    <w:rsid w:val="00D3529F"/>
    <w:rsid w:val="00D515AA"/>
    <w:rsid w:val="00D53510"/>
    <w:rsid w:val="00DB28EB"/>
    <w:rsid w:val="00DF0199"/>
    <w:rsid w:val="00DF51C4"/>
    <w:rsid w:val="00E338A3"/>
    <w:rsid w:val="00E3595E"/>
    <w:rsid w:val="00EB635F"/>
    <w:rsid w:val="00ED7D7C"/>
    <w:rsid w:val="00F01FAE"/>
    <w:rsid w:val="00F8183B"/>
    <w:rsid w:val="00FA5FC1"/>
    <w:rsid w:val="01470A8A"/>
    <w:rsid w:val="0234146B"/>
    <w:rsid w:val="026B1CAC"/>
    <w:rsid w:val="02A6208A"/>
    <w:rsid w:val="03192F53"/>
    <w:rsid w:val="03A57BB6"/>
    <w:rsid w:val="03AD4F46"/>
    <w:rsid w:val="03F903E8"/>
    <w:rsid w:val="040A6059"/>
    <w:rsid w:val="044C5C91"/>
    <w:rsid w:val="06D27B45"/>
    <w:rsid w:val="07136F21"/>
    <w:rsid w:val="078F5063"/>
    <w:rsid w:val="080E64F0"/>
    <w:rsid w:val="09395457"/>
    <w:rsid w:val="09451E80"/>
    <w:rsid w:val="099215DD"/>
    <w:rsid w:val="09DC19A3"/>
    <w:rsid w:val="09E069E0"/>
    <w:rsid w:val="0B5517FF"/>
    <w:rsid w:val="0B947424"/>
    <w:rsid w:val="0B972846"/>
    <w:rsid w:val="0B9C0B56"/>
    <w:rsid w:val="0BBB6D74"/>
    <w:rsid w:val="0C0C6FFE"/>
    <w:rsid w:val="0C1E24BA"/>
    <w:rsid w:val="0C5276F6"/>
    <w:rsid w:val="0C85710C"/>
    <w:rsid w:val="0CB32891"/>
    <w:rsid w:val="0CD43832"/>
    <w:rsid w:val="0CE20A75"/>
    <w:rsid w:val="0D0237E6"/>
    <w:rsid w:val="0D4E2433"/>
    <w:rsid w:val="0E245DB5"/>
    <w:rsid w:val="0F2B21D1"/>
    <w:rsid w:val="10033E05"/>
    <w:rsid w:val="103310FF"/>
    <w:rsid w:val="10B615B1"/>
    <w:rsid w:val="1173458B"/>
    <w:rsid w:val="12A56387"/>
    <w:rsid w:val="12AD58FA"/>
    <w:rsid w:val="12D431CA"/>
    <w:rsid w:val="134E4D7B"/>
    <w:rsid w:val="13C97AB2"/>
    <w:rsid w:val="14692D4B"/>
    <w:rsid w:val="15183C46"/>
    <w:rsid w:val="1589624B"/>
    <w:rsid w:val="16F15C1A"/>
    <w:rsid w:val="17125A2B"/>
    <w:rsid w:val="1747408E"/>
    <w:rsid w:val="17987ED6"/>
    <w:rsid w:val="17AD036A"/>
    <w:rsid w:val="17C07B85"/>
    <w:rsid w:val="1A3F6FDA"/>
    <w:rsid w:val="1A422262"/>
    <w:rsid w:val="1A4C1469"/>
    <w:rsid w:val="1A644ACB"/>
    <w:rsid w:val="1B3E3158"/>
    <w:rsid w:val="1BBD054F"/>
    <w:rsid w:val="1BE44CD8"/>
    <w:rsid w:val="1D8115EF"/>
    <w:rsid w:val="1D850D43"/>
    <w:rsid w:val="1DD67227"/>
    <w:rsid w:val="1EBC1E87"/>
    <w:rsid w:val="1EBE4CE7"/>
    <w:rsid w:val="1ED42593"/>
    <w:rsid w:val="1ED456D5"/>
    <w:rsid w:val="1EFB4DF0"/>
    <w:rsid w:val="1F107A0B"/>
    <w:rsid w:val="1F490FDE"/>
    <w:rsid w:val="1F4D7A5F"/>
    <w:rsid w:val="1F7B1B2B"/>
    <w:rsid w:val="1FC47655"/>
    <w:rsid w:val="205B3537"/>
    <w:rsid w:val="211F27A2"/>
    <w:rsid w:val="21E31DAC"/>
    <w:rsid w:val="220F2576"/>
    <w:rsid w:val="22341638"/>
    <w:rsid w:val="23C633D6"/>
    <w:rsid w:val="24871F79"/>
    <w:rsid w:val="24F102EF"/>
    <w:rsid w:val="253F3C7F"/>
    <w:rsid w:val="256F1F2A"/>
    <w:rsid w:val="25EA1EE5"/>
    <w:rsid w:val="264F1406"/>
    <w:rsid w:val="26D133AD"/>
    <w:rsid w:val="27602533"/>
    <w:rsid w:val="276F6AA3"/>
    <w:rsid w:val="27A02CD7"/>
    <w:rsid w:val="283B51DE"/>
    <w:rsid w:val="286E2172"/>
    <w:rsid w:val="29196318"/>
    <w:rsid w:val="295343F4"/>
    <w:rsid w:val="298F59D8"/>
    <w:rsid w:val="29BA06E9"/>
    <w:rsid w:val="29D82F19"/>
    <w:rsid w:val="2A9E025F"/>
    <w:rsid w:val="2AA60373"/>
    <w:rsid w:val="2AAF3CF3"/>
    <w:rsid w:val="2B7F49F2"/>
    <w:rsid w:val="2B921CB8"/>
    <w:rsid w:val="2CBC41A6"/>
    <w:rsid w:val="2CC26F77"/>
    <w:rsid w:val="2CEC7851"/>
    <w:rsid w:val="2CFC4874"/>
    <w:rsid w:val="2D5A2D35"/>
    <w:rsid w:val="2DD07165"/>
    <w:rsid w:val="2EFC40D4"/>
    <w:rsid w:val="2F1561E6"/>
    <w:rsid w:val="2FD004EE"/>
    <w:rsid w:val="2FFB1718"/>
    <w:rsid w:val="30213B91"/>
    <w:rsid w:val="308E5759"/>
    <w:rsid w:val="312943A1"/>
    <w:rsid w:val="31B7353F"/>
    <w:rsid w:val="31ED20B3"/>
    <w:rsid w:val="32AA709A"/>
    <w:rsid w:val="33C92C70"/>
    <w:rsid w:val="33CB05F6"/>
    <w:rsid w:val="347539F9"/>
    <w:rsid w:val="351155A5"/>
    <w:rsid w:val="353C34F0"/>
    <w:rsid w:val="35D81069"/>
    <w:rsid w:val="35EE6569"/>
    <w:rsid w:val="36FC067D"/>
    <w:rsid w:val="38E649E2"/>
    <w:rsid w:val="39C20B54"/>
    <w:rsid w:val="3A355F7C"/>
    <w:rsid w:val="3A6E421F"/>
    <w:rsid w:val="3A737EEC"/>
    <w:rsid w:val="3B3B6E0D"/>
    <w:rsid w:val="3B4F1036"/>
    <w:rsid w:val="3B981C9E"/>
    <w:rsid w:val="3BB21864"/>
    <w:rsid w:val="3BDF1A38"/>
    <w:rsid w:val="3BE4530F"/>
    <w:rsid w:val="3C6F3E3B"/>
    <w:rsid w:val="3CFD528C"/>
    <w:rsid w:val="3EB013AB"/>
    <w:rsid w:val="3F5D58F1"/>
    <w:rsid w:val="3FAF7EBF"/>
    <w:rsid w:val="3FCC6897"/>
    <w:rsid w:val="405C5A84"/>
    <w:rsid w:val="40D13944"/>
    <w:rsid w:val="4221748A"/>
    <w:rsid w:val="423D466F"/>
    <w:rsid w:val="428B4359"/>
    <w:rsid w:val="42B03CCC"/>
    <w:rsid w:val="42B768CD"/>
    <w:rsid w:val="42CC3F33"/>
    <w:rsid w:val="43207D0A"/>
    <w:rsid w:val="43631EE8"/>
    <w:rsid w:val="43B35BE1"/>
    <w:rsid w:val="43CB3901"/>
    <w:rsid w:val="443E1BD5"/>
    <w:rsid w:val="44F53EC9"/>
    <w:rsid w:val="451A11C3"/>
    <w:rsid w:val="453B3109"/>
    <w:rsid w:val="456C7660"/>
    <w:rsid w:val="45B349FB"/>
    <w:rsid w:val="46BD5C01"/>
    <w:rsid w:val="47066E73"/>
    <w:rsid w:val="473000FD"/>
    <w:rsid w:val="47697F3B"/>
    <w:rsid w:val="47B45F3C"/>
    <w:rsid w:val="48053C34"/>
    <w:rsid w:val="48123E79"/>
    <w:rsid w:val="497C22B2"/>
    <w:rsid w:val="49D076B0"/>
    <w:rsid w:val="4A1417AA"/>
    <w:rsid w:val="4A5D7320"/>
    <w:rsid w:val="4B5D2B2A"/>
    <w:rsid w:val="4CD36D03"/>
    <w:rsid w:val="4CD73D60"/>
    <w:rsid w:val="4D342AC5"/>
    <w:rsid w:val="4D694DA4"/>
    <w:rsid w:val="4D6B42BE"/>
    <w:rsid w:val="4DCA136A"/>
    <w:rsid w:val="4DFE6388"/>
    <w:rsid w:val="4ECF6BCC"/>
    <w:rsid w:val="508B38AC"/>
    <w:rsid w:val="50B259D2"/>
    <w:rsid w:val="50F53BA8"/>
    <w:rsid w:val="51F11F6A"/>
    <w:rsid w:val="5229107C"/>
    <w:rsid w:val="527349B4"/>
    <w:rsid w:val="52E10274"/>
    <w:rsid w:val="53572425"/>
    <w:rsid w:val="53CA7249"/>
    <w:rsid w:val="549A08F7"/>
    <w:rsid w:val="55470037"/>
    <w:rsid w:val="55A236BA"/>
    <w:rsid w:val="55CD0E83"/>
    <w:rsid w:val="567B53FF"/>
    <w:rsid w:val="57A73D22"/>
    <w:rsid w:val="585D638C"/>
    <w:rsid w:val="58987D0A"/>
    <w:rsid w:val="592839E3"/>
    <w:rsid w:val="593517E3"/>
    <w:rsid w:val="59455451"/>
    <w:rsid w:val="598F6A85"/>
    <w:rsid w:val="5AB77DD7"/>
    <w:rsid w:val="5BAE76FF"/>
    <w:rsid w:val="5BBE76F4"/>
    <w:rsid w:val="5BE91279"/>
    <w:rsid w:val="5CA01AB6"/>
    <w:rsid w:val="5EBD399D"/>
    <w:rsid w:val="5F4212D9"/>
    <w:rsid w:val="5FB04F89"/>
    <w:rsid w:val="600E1E6F"/>
    <w:rsid w:val="61A67C9A"/>
    <w:rsid w:val="61CA201F"/>
    <w:rsid w:val="621C1ADB"/>
    <w:rsid w:val="621C3A13"/>
    <w:rsid w:val="625C2BFE"/>
    <w:rsid w:val="625C3E83"/>
    <w:rsid w:val="631312C7"/>
    <w:rsid w:val="63620E0E"/>
    <w:rsid w:val="63B86D94"/>
    <w:rsid w:val="63DC30DC"/>
    <w:rsid w:val="643B7D84"/>
    <w:rsid w:val="65822F4C"/>
    <w:rsid w:val="65AF5444"/>
    <w:rsid w:val="65E71F28"/>
    <w:rsid w:val="6629349B"/>
    <w:rsid w:val="666F3498"/>
    <w:rsid w:val="66A23BB0"/>
    <w:rsid w:val="66AD7815"/>
    <w:rsid w:val="67AF42C4"/>
    <w:rsid w:val="67D853AC"/>
    <w:rsid w:val="68A70936"/>
    <w:rsid w:val="69264FE4"/>
    <w:rsid w:val="69445670"/>
    <w:rsid w:val="69520885"/>
    <w:rsid w:val="69E132A1"/>
    <w:rsid w:val="6CD66CA4"/>
    <w:rsid w:val="6D5710EB"/>
    <w:rsid w:val="6D9D7DC0"/>
    <w:rsid w:val="6DB01FA2"/>
    <w:rsid w:val="6EEF41B0"/>
    <w:rsid w:val="6F772A31"/>
    <w:rsid w:val="6F904D6D"/>
    <w:rsid w:val="70274708"/>
    <w:rsid w:val="70CC7133"/>
    <w:rsid w:val="71723ECA"/>
    <w:rsid w:val="71CC141B"/>
    <w:rsid w:val="72F93BFA"/>
    <w:rsid w:val="730F7E05"/>
    <w:rsid w:val="73536E8D"/>
    <w:rsid w:val="73935E33"/>
    <w:rsid w:val="74B74C17"/>
    <w:rsid w:val="754679FD"/>
    <w:rsid w:val="7547692F"/>
    <w:rsid w:val="76BB6642"/>
    <w:rsid w:val="76E70A9E"/>
    <w:rsid w:val="773D0CC8"/>
    <w:rsid w:val="77E45344"/>
    <w:rsid w:val="77F95CBE"/>
    <w:rsid w:val="7812538D"/>
    <w:rsid w:val="79DA24A9"/>
    <w:rsid w:val="7A255AF3"/>
    <w:rsid w:val="7A5A6AA7"/>
    <w:rsid w:val="7A7E636C"/>
    <w:rsid w:val="7BF939F1"/>
    <w:rsid w:val="7C157AF8"/>
    <w:rsid w:val="7C5652B8"/>
    <w:rsid w:val="7C8E2DE4"/>
    <w:rsid w:val="7D9032CF"/>
    <w:rsid w:val="7E4E3F93"/>
    <w:rsid w:val="7E510DCF"/>
    <w:rsid w:val="7EB413CA"/>
    <w:rsid w:val="7FAC5749"/>
    <w:rsid w:val="7FB95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2"/>
    <w:qFormat/>
    <w:uiPriority w:val="0"/>
    <w:pPr>
      <w:spacing w:line="540" w:lineRule="exact"/>
      <w:ind w:firstLine="643" w:firstLineChars="200"/>
    </w:pPr>
    <w:rPr>
      <w:rFonts w:ascii="Times New Roman" w:hAnsi="Times New Roman" w:eastAsia="仿宋_GB2312" w:cs="Times New Roman"/>
      <w:b/>
      <w:bCs/>
      <w:sz w:val="32"/>
      <w:szCs w:val="24"/>
    </w:rPr>
  </w:style>
  <w:style w:type="paragraph" w:styleId="3">
    <w:name w:val="Body Text Indent 2"/>
    <w:basedOn w:val="1"/>
    <w:autoRedefine/>
    <w:semiHidden/>
    <w:unhideWhenUsed/>
    <w:qFormat/>
    <w:uiPriority w:val="99"/>
    <w:pPr>
      <w:spacing w:line="580" w:lineRule="exact"/>
      <w:ind w:firstLine="640" w:firstLineChars="200"/>
    </w:pPr>
    <w:rPr>
      <w:rFonts w:ascii="仿宋_GB2312" w:eastAsia="仿宋_GB2312"/>
      <w:sz w:val="32"/>
    </w:rPr>
  </w:style>
  <w:style w:type="paragraph" w:styleId="4">
    <w:name w:val="Balloon Text"/>
    <w:basedOn w:val="1"/>
    <w:link w:val="13"/>
    <w:autoRedefine/>
    <w:unhideWhenUsed/>
    <w:qFormat/>
    <w:uiPriority w:val="99"/>
    <w:rPr>
      <w:sz w:val="18"/>
      <w:szCs w:val="18"/>
    </w:rPr>
  </w:style>
  <w:style w:type="paragraph" w:styleId="5">
    <w:name w:val="footer"/>
    <w:basedOn w:val="1"/>
    <w:link w:val="10"/>
    <w:autoRedefine/>
    <w:unhideWhenUsed/>
    <w:qFormat/>
    <w:uiPriority w:val="99"/>
    <w:pPr>
      <w:tabs>
        <w:tab w:val="center" w:pos="4153"/>
        <w:tab w:val="right" w:pos="8306"/>
      </w:tabs>
      <w:snapToGrid w:val="0"/>
      <w:jc w:val="left"/>
    </w:pPr>
    <w:rPr>
      <w:sz w:val="18"/>
      <w:szCs w:val="18"/>
    </w:rPr>
  </w:style>
  <w:style w:type="paragraph" w:styleId="6">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autoRedefine/>
    <w:qFormat/>
    <w:uiPriority w:val="99"/>
    <w:rPr>
      <w:sz w:val="18"/>
      <w:szCs w:val="18"/>
    </w:rPr>
  </w:style>
  <w:style w:type="character" w:customStyle="1" w:styleId="10">
    <w:name w:val="页脚 Char"/>
    <w:basedOn w:val="8"/>
    <w:link w:val="5"/>
    <w:autoRedefine/>
    <w:qFormat/>
    <w:uiPriority w:val="99"/>
    <w:rPr>
      <w:sz w:val="18"/>
      <w:szCs w:val="18"/>
    </w:rPr>
  </w:style>
  <w:style w:type="character" w:customStyle="1" w:styleId="11">
    <w:name w:val="font11"/>
    <w:basedOn w:val="8"/>
    <w:autoRedefine/>
    <w:qFormat/>
    <w:uiPriority w:val="0"/>
    <w:rPr>
      <w:rFonts w:hint="default" w:ascii="Times New Roman" w:hAnsi="Times New Roman" w:cs="Times New Roman"/>
      <w:color w:val="000000"/>
      <w:sz w:val="20"/>
      <w:szCs w:val="20"/>
      <w:u w:val="none"/>
    </w:rPr>
  </w:style>
  <w:style w:type="character" w:customStyle="1" w:styleId="12">
    <w:name w:val="正文文本缩进 Char"/>
    <w:basedOn w:val="8"/>
    <w:link w:val="2"/>
    <w:autoRedefine/>
    <w:qFormat/>
    <w:uiPriority w:val="0"/>
    <w:rPr>
      <w:rFonts w:ascii="Times New Roman" w:hAnsi="Times New Roman" w:eastAsia="仿宋_GB2312" w:cs="Times New Roman"/>
      <w:b/>
      <w:bCs/>
      <w:sz w:val="32"/>
      <w:szCs w:val="24"/>
    </w:rPr>
  </w:style>
  <w:style w:type="character" w:customStyle="1" w:styleId="13">
    <w:name w:val="批注框文本 Char"/>
    <w:basedOn w:val="8"/>
    <w:link w:val="4"/>
    <w:autoRedefine/>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5136</Words>
  <Characters>5634</Characters>
  <Lines>42</Lines>
  <Paragraphs>12</Paragraphs>
  <TotalTime>8</TotalTime>
  <ScaleCrop>false</ScaleCrop>
  <LinksUpToDate>false</LinksUpToDate>
  <CharactersWithSpaces>5665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2017-11-20T01:05:00Z</dcterms:created>
  <dc:creator>Sky123.Org</dc:creator>
  <cp:lastModifiedBy>WPS_1665536116</cp:lastModifiedBy>
  <cp:lastPrinted>2025-03-28T08:00:00Z</cp:lastPrinted>
  <dcterms:modified xsi:type="dcterms:W3CDTF">2025-03-28T08:17:59Z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C41C1A08E972450F9A134D24BCA5E2BF_13</vt:lpwstr>
  </property>
  <property fmtid="{D5CDD505-2E9C-101B-9397-08002B2CF9AE}" pid="4" name="KSOTemplateDocerSaveRecord">
    <vt:lpwstr>eyJoZGlkIjoiYWI2YzIwOTA2MDQyYmUyOGZkNDJhMzNiZDQ2ODljMTMiLCJ1c2VySWQiOiIxNDE4NjQyNzI2In0=</vt:lpwstr>
  </property>
</Properties>
</file>