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575FF">
      <w:pPr>
        <w:spacing w:line="1000" w:lineRule="exact"/>
        <w:jc w:val="center"/>
        <w:rPr>
          <w:rFonts w:ascii="宋体" w:hAnsi="宋体" w:eastAsia="宋体" w:cs="Times New Roman"/>
          <w:bCs/>
          <w:spacing w:val="-20"/>
          <w:sz w:val="70"/>
          <w:szCs w:val="70"/>
        </w:rPr>
      </w:pPr>
      <w:r>
        <w:rPr>
          <w:rFonts w:hint="eastAsia" w:ascii="宋体" w:hAnsi="宋体" w:eastAsia="宋体" w:cs="Times New Roman"/>
          <w:bCs/>
          <w:spacing w:val="-20"/>
          <w:sz w:val="70"/>
          <w:szCs w:val="70"/>
          <w:lang w:val="en-US" w:eastAsia="zh-CN"/>
        </w:rPr>
        <w:t xml:space="preserve"> </w:t>
      </w:r>
      <w:r>
        <w:rPr>
          <w:rFonts w:hint="eastAsia" w:ascii="宋体" w:hAnsi="宋体" w:eastAsia="宋体" w:cs="Times New Roman"/>
          <w:bCs/>
          <w:spacing w:val="-20"/>
          <w:sz w:val="70"/>
          <w:szCs w:val="70"/>
        </w:rPr>
        <w:t>大冶市</w:t>
      </w:r>
      <w:r>
        <w:rPr>
          <w:rFonts w:hint="eastAsia" w:ascii="宋体" w:hAnsi="宋体" w:eastAsia="宋体" w:cs="Times New Roman"/>
          <w:bCs/>
          <w:spacing w:val="-20"/>
          <w:sz w:val="70"/>
          <w:szCs w:val="70"/>
          <w:lang w:val="en-US" w:eastAsia="zh-CN"/>
        </w:rPr>
        <w:t>农村集体经营性</w:t>
      </w:r>
      <w:r>
        <w:rPr>
          <w:rFonts w:hint="eastAsia" w:ascii="宋体" w:hAnsi="宋体" w:eastAsia="宋体" w:cs="Times New Roman"/>
          <w:bCs/>
          <w:spacing w:val="-20"/>
          <w:sz w:val="70"/>
          <w:szCs w:val="70"/>
        </w:rPr>
        <w:t>建设用地使用权</w:t>
      </w:r>
    </w:p>
    <w:p w14:paraId="722CE9B6">
      <w:pPr>
        <w:spacing w:line="1000" w:lineRule="exact"/>
        <w:jc w:val="center"/>
        <w:rPr>
          <w:rFonts w:ascii="楷体_GB2312" w:hAnsi="Times New Roman" w:eastAsia="楷体_GB2312" w:cs="Times New Roman"/>
          <w:bCs/>
          <w:sz w:val="52"/>
          <w:szCs w:val="24"/>
        </w:rPr>
      </w:pPr>
      <w:r>
        <w:rPr>
          <w:rFonts w:hint="eastAsia" w:ascii="楷体_GB2312" w:hAnsi="Times New Roman" w:eastAsia="楷体_GB2312" w:cs="Times New Roman"/>
          <w:bCs/>
          <w:sz w:val="52"/>
          <w:szCs w:val="24"/>
        </w:rPr>
        <w:t>（202</w:t>
      </w:r>
      <w:r>
        <w:rPr>
          <w:rFonts w:hint="eastAsia" w:ascii="楷体_GB2312" w:hAnsi="Times New Roman" w:eastAsia="楷体_GB2312" w:cs="Times New Roman"/>
          <w:bCs/>
          <w:sz w:val="52"/>
          <w:szCs w:val="24"/>
          <w:lang w:val="en-US" w:eastAsia="zh-CN"/>
        </w:rPr>
        <w:t>6</w:t>
      </w:r>
      <w:r>
        <w:rPr>
          <w:rFonts w:hint="eastAsia" w:ascii="楷体_GB2312" w:hAnsi="Times New Roman" w:eastAsia="楷体_GB2312" w:cs="Times New Roman"/>
          <w:bCs/>
          <w:sz w:val="52"/>
          <w:szCs w:val="24"/>
        </w:rPr>
        <w:t>年第</w:t>
      </w:r>
      <w:r>
        <w:rPr>
          <w:rFonts w:hint="eastAsia" w:ascii="楷体_GB2312" w:hAnsi="Times New Roman" w:eastAsia="楷体_GB2312" w:cs="Times New Roman"/>
          <w:bCs/>
          <w:color w:val="FF0000"/>
          <w:sz w:val="52"/>
          <w:szCs w:val="24"/>
          <w:lang w:val="en-US" w:eastAsia="zh-CN"/>
        </w:rPr>
        <w:t>1</w:t>
      </w:r>
      <w:r>
        <w:rPr>
          <w:rFonts w:hint="eastAsia" w:ascii="楷体_GB2312" w:hAnsi="Times New Roman" w:eastAsia="楷体_GB2312" w:cs="Times New Roman"/>
          <w:bCs/>
          <w:sz w:val="52"/>
          <w:szCs w:val="24"/>
        </w:rPr>
        <w:t>期）</w:t>
      </w:r>
    </w:p>
    <w:p w14:paraId="704C4618">
      <w:pPr>
        <w:spacing w:line="700" w:lineRule="exact"/>
        <w:ind w:firstLine="1680" w:firstLineChars="200"/>
        <w:rPr>
          <w:rFonts w:ascii="Times New Roman" w:hAnsi="Times New Roman" w:eastAsia="黑体" w:cs="Times New Roman"/>
          <w:bCs/>
          <w:sz w:val="84"/>
          <w:szCs w:val="24"/>
        </w:rPr>
      </w:pPr>
    </w:p>
    <w:p w14:paraId="59CEE17D">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挂</w:t>
      </w:r>
    </w:p>
    <w:p w14:paraId="6D9091ED">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牌</w:t>
      </w:r>
    </w:p>
    <w:p w14:paraId="1C508427">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出</w:t>
      </w:r>
    </w:p>
    <w:p w14:paraId="76B8F5DB">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让</w:t>
      </w:r>
    </w:p>
    <w:p w14:paraId="2EC21334">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文</w:t>
      </w:r>
    </w:p>
    <w:p w14:paraId="26F8280F">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件</w:t>
      </w:r>
    </w:p>
    <w:p w14:paraId="62670D79">
      <w:pPr>
        <w:tabs>
          <w:tab w:val="left" w:pos="4635"/>
        </w:tabs>
        <w:spacing w:line="600" w:lineRule="exact"/>
        <w:jc w:val="left"/>
        <w:rPr>
          <w:rFonts w:ascii="宋体" w:hAnsi="宋体" w:eastAsia="宋体" w:cs="Times New Roman"/>
          <w:bCs/>
          <w:sz w:val="60"/>
          <w:szCs w:val="60"/>
        </w:rPr>
      </w:pPr>
    </w:p>
    <w:p w14:paraId="4054AC24">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大冶市公共资源交易中心</w:t>
      </w:r>
    </w:p>
    <w:p w14:paraId="54D74BCE">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二○二</w:t>
      </w:r>
      <w:r>
        <w:rPr>
          <w:rFonts w:hint="eastAsia" w:ascii="宋体" w:hAnsi="宋体" w:eastAsia="宋体" w:cs="Times New Roman"/>
          <w:bCs/>
          <w:sz w:val="60"/>
          <w:szCs w:val="60"/>
          <w:lang w:val="en-US" w:eastAsia="zh-CN"/>
        </w:rPr>
        <w:t>六</w:t>
      </w:r>
      <w:r>
        <w:rPr>
          <w:rFonts w:hint="eastAsia" w:ascii="宋体" w:hAnsi="宋体" w:eastAsia="宋体" w:cs="Times New Roman"/>
          <w:bCs/>
          <w:sz w:val="60"/>
          <w:szCs w:val="60"/>
        </w:rPr>
        <w:t>年</w:t>
      </w:r>
      <w:r>
        <w:rPr>
          <w:rFonts w:hint="eastAsia" w:ascii="宋体" w:hAnsi="宋体" w:eastAsia="宋体" w:cs="Times New Roman"/>
          <w:bCs/>
          <w:color w:val="FF0000"/>
          <w:sz w:val="60"/>
          <w:szCs w:val="60"/>
          <w:lang w:val="en-US" w:eastAsia="zh-CN"/>
        </w:rPr>
        <w:t>三</w:t>
      </w:r>
      <w:r>
        <w:rPr>
          <w:rFonts w:hint="eastAsia" w:ascii="宋体" w:hAnsi="宋体" w:eastAsia="宋体" w:cs="Times New Roman"/>
          <w:bCs/>
          <w:sz w:val="60"/>
          <w:szCs w:val="60"/>
        </w:rPr>
        <w:t>月</w:t>
      </w:r>
    </w:p>
    <w:p w14:paraId="44320860">
      <w:pPr>
        <w:spacing w:line="900" w:lineRule="exact"/>
        <w:ind w:firstLine="3120" w:firstLineChars="600"/>
        <w:rPr>
          <w:rFonts w:ascii="Times New Roman" w:hAnsi="Times New Roman" w:eastAsia="黑体" w:cs="Times New Roman"/>
          <w:sz w:val="52"/>
          <w:szCs w:val="24"/>
        </w:rPr>
      </w:pPr>
      <w:r>
        <w:rPr>
          <w:rFonts w:hint="eastAsia" w:ascii="Times New Roman" w:hAnsi="Times New Roman" w:eastAsia="黑体" w:cs="Times New Roman"/>
          <w:sz w:val="52"/>
          <w:szCs w:val="24"/>
        </w:rPr>
        <w:t>目录</w:t>
      </w:r>
    </w:p>
    <w:p w14:paraId="5E9340C8">
      <w:pPr>
        <w:spacing w:line="900" w:lineRule="exact"/>
        <w:ind w:firstLine="1530"/>
        <w:rPr>
          <w:rFonts w:ascii="Times New Roman" w:hAnsi="Times New Roman" w:eastAsia="黑体" w:cs="Times New Roman"/>
          <w:sz w:val="44"/>
          <w:szCs w:val="24"/>
        </w:rPr>
      </w:pPr>
    </w:p>
    <w:p w14:paraId="136E6527">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lang w:val="en-US" w:eastAsia="zh-CN"/>
        </w:rPr>
        <w:t>农村集体经营性</w:t>
      </w:r>
      <w:r>
        <w:rPr>
          <w:rFonts w:hint="eastAsia" w:ascii="黑体" w:hAnsi="Times New Roman" w:eastAsia="黑体" w:cs="Times New Roman"/>
          <w:sz w:val="36"/>
          <w:szCs w:val="24"/>
        </w:rPr>
        <w:t>建设用地使用权挂牌出让公告</w:t>
      </w:r>
    </w:p>
    <w:p w14:paraId="00294E7E">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lang w:val="en-US" w:eastAsia="zh-CN"/>
        </w:rPr>
        <w:t>农村集体经营性</w:t>
      </w:r>
      <w:r>
        <w:rPr>
          <w:rFonts w:hint="eastAsia" w:ascii="黑体" w:hAnsi="Times New Roman" w:eastAsia="黑体" w:cs="Times New Roman"/>
          <w:sz w:val="36"/>
          <w:szCs w:val="24"/>
        </w:rPr>
        <w:t>建设用地使用权挂牌出让竞买须知</w:t>
      </w:r>
    </w:p>
    <w:p w14:paraId="55AEEA32">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竞买申请书</w:t>
      </w:r>
    </w:p>
    <w:p w14:paraId="7AF229FA">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授权委托书</w:t>
      </w:r>
    </w:p>
    <w:p w14:paraId="7C74ECBC">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竞买资格确认书</w:t>
      </w:r>
    </w:p>
    <w:p w14:paraId="3E11EA2B">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竞买报价单</w:t>
      </w:r>
    </w:p>
    <w:p w14:paraId="3E13419E">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成交确认书</w:t>
      </w:r>
    </w:p>
    <w:p w14:paraId="76E81420">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lang w:val="en-US" w:eastAsia="zh-CN"/>
        </w:rPr>
        <w:t>农村集体经营性</w:t>
      </w:r>
      <w:r>
        <w:rPr>
          <w:rFonts w:hint="eastAsia" w:ascii="黑体" w:hAnsi="Times New Roman" w:eastAsia="黑体" w:cs="Times New Roman"/>
          <w:sz w:val="36"/>
          <w:szCs w:val="24"/>
        </w:rPr>
        <w:t>建设用地使用权出让合同文本</w:t>
      </w:r>
    </w:p>
    <w:p w14:paraId="7E957EB2">
      <w:pPr>
        <w:spacing w:line="800" w:lineRule="exact"/>
        <w:ind w:firstLine="720" w:firstLineChars="200"/>
        <w:rPr>
          <w:rFonts w:ascii="黑体" w:hAnsi="Times New Roman" w:eastAsia="黑体" w:cs="Times New Roman"/>
          <w:sz w:val="36"/>
          <w:szCs w:val="24"/>
        </w:rPr>
      </w:pPr>
      <w:r>
        <w:rPr>
          <w:rFonts w:hint="eastAsia" w:ascii="黑体" w:hAnsi="Times New Roman" w:eastAsia="黑体" w:cs="Times New Roman"/>
          <w:sz w:val="36"/>
          <w:szCs w:val="24"/>
        </w:rPr>
        <w:t>九、出让宗地规划设计控制指标</w:t>
      </w:r>
    </w:p>
    <w:p w14:paraId="4C49190D">
      <w:pPr>
        <w:spacing w:line="600" w:lineRule="exact"/>
        <w:rPr>
          <w:rFonts w:ascii="宋体" w:hAnsi="宋体" w:eastAsia="宋体" w:cs="Times New Roman"/>
          <w:bCs/>
          <w:sz w:val="60"/>
          <w:szCs w:val="60"/>
        </w:rPr>
      </w:pPr>
    </w:p>
    <w:p w14:paraId="388A055A">
      <w:pPr>
        <w:spacing w:line="600" w:lineRule="exact"/>
        <w:rPr>
          <w:rFonts w:ascii="宋体" w:hAnsi="宋体" w:eastAsia="宋体" w:cs="Times New Roman"/>
          <w:bCs/>
          <w:sz w:val="60"/>
          <w:szCs w:val="60"/>
        </w:rPr>
      </w:pPr>
    </w:p>
    <w:p w14:paraId="2CF4951C">
      <w:pPr>
        <w:spacing w:line="500" w:lineRule="exact"/>
        <w:jc w:val="center"/>
        <w:rPr>
          <w:rFonts w:hint="eastAsia" w:ascii="黑体" w:hAnsi="宋体" w:eastAsia="黑体" w:cs="Times New Roman"/>
          <w:sz w:val="32"/>
          <w:szCs w:val="32"/>
        </w:rPr>
      </w:pPr>
      <w:r>
        <w:rPr>
          <w:rFonts w:hint="eastAsia" w:ascii="黑体" w:hAnsi="宋体" w:eastAsia="黑体" w:cs="Times New Roman"/>
          <w:sz w:val="32"/>
          <w:szCs w:val="32"/>
        </w:rPr>
        <w:t>大冶市</w:t>
      </w:r>
      <w:r>
        <w:rPr>
          <w:rFonts w:hint="eastAsia" w:ascii="黑体" w:hAnsi="宋体" w:eastAsia="黑体" w:cs="Times New Roman"/>
          <w:sz w:val="32"/>
          <w:szCs w:val="32"/>
          <w:lang w:val="en-US" w:eastAsia="zh-CN"/>
        </w:rPr>
        <w:t>2026</w:t>
      </w:r>
      <w:r>
        <w:rPr>
          <w:rFonts w:hint="eastAsia" w:ascii="黑体" w:hAnsi="宋体" w:eastAsia="黑体" w:cs="Times New Roman"/>
          <w:sz w:val="32"/>
          <w:szCs w:val="32"/>
        </w:rPr>
        <w:t>年第</w:t>
      </w:r>
      <w:r>
        <w:rPr>
          <w:rFonts w:hint="eastAsia" w:ascii="黑体" w:hAnsi="宋体" w:eastAsia="黑体" w:cs="Times New Roman"/>
          <w:sz w:val="32"/>
          <w:szCs w:val="32"/>
          <w:lang w:val="en-US" w:eastAsia="zh-CN"/>
        </w:rPr>
        <w:t>1</w:t>
      </w:r>
      <w:r>
        <w:rPr>
          <w:rFonts w:hint="eastAsia" w:ascii="黑体" w:hAnsi="宋体" w:eastAsia="黑体" w:cs="Times New Roman"/>
          <w:sz w:val="32"/>
          <w:szCs w:val="32"/>
        </w:rPr>
        <w:t>期</w:t>
      </w:r>
    </w:p>
    <w:p w14:paraId="680F87C0">
      <w:pPr>
        <w:spacing w:line="500" w:lineRule="exact"/>
        <w:jc w:val="center"/>
        <w:rPr>
          <w:rFonts w:ascii="黑体" w:hAnsi="宋体" w:eastAsia="黑体" w:cs="Times New Roman"/>
          <w:sz w:val="32"/>
          <w:szCs w:val="32"/>
        </w:rPr>
      </w:pPr>
      <w:r>
        <w:rPr>
          <w:rFonts w:hint="eastAsia" w:ascii="黑体" w:hAnsi="宋体" w:eastAsia="黑体" w:cs="Times New Roman"/>
          <w:sz w:val="32"/>
          <w:szCs w:val="32"/>
          <w:lang w:val="en-US" w:eastAsia="zh-CN"/>
        </w:rPr>
        <w:t>农村集体经营性</w:t>
      </w:r>
      <w:r>
        <w:rPr>
          <w:rFonts w:hint="eastAsia" w:ascii="黑体" w:hAnsi="宋体" w:eastAsia="黑体" w:cs="Times New Roman"/>
          <w:sz w:val="32"/>
          <w:szCs w:val="32"/>
        </w:rPr>
        <w:t>建设用地使用权挂牌出让公告</w:t>
      </w:r>
    </w:p>
    <w:p w14:paraId="1DC21313">
      <w:pPr>
        <w:spacing w:line="500" w:lineRule="exact"/>
        <w:ind w:firstLine="2240" w:firstLineChars="700"/>
        <w:rPr>
          <w:rFonts w:ascii="仿宋" w:hAnsi="仿宋" w:eastAsia="仿宋" w:cs="Times New Roman"/>
          <w:sz w:val="32"/>
          <w:szCs w:val="44"/>
        </w:rPr>
      </w:pPr>
      <w:r>
        <w:rPr>
          <w:rFonts w:hint="eastAsia" w:ascii="仿宋" w:hAnsi="仿宋" w:eastAsia="仿宋" w:cs="Times New Roman"/>
          <w:sz w:val="32"/>
          <w:szCs w:val="44"/>
        </w:rPr>
        <w:t>冶</w:t>
      </w:r>
      <w:r>
        <w:rPr>
          <w:rFonts w:hint="eastAsia" w:ascii="仿宋" w:hAnsi="仿宋" w:eastAsia="仿宋" w:cs="Times New Roman"/>
          <w:sz w:val="32"/>
          <w:szCs w:val="44"/>
          <w:lang w:val="en-US" w:eastAsia="zh-CN"/>
        </w:rPr>
        <w:t>农</w:t>
      </w:r>
      <w:r>
        <w:rPr>
          <w:rFonts w:hint="eastAsia" w:ascii="仿宋" w:hAnsi="仿宋" w:eastAsia="仿宋" w:cs="Times New Roman"/>
          <w:sz w:val="32"/>
          <w:szCs w:val="44"/>
        </w:rPr>
        <w:t>土出告字</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Times New Roman"/>
          <w:sz w:val="32"/>
          <w:szCs w:val="44"/>
        </w:rPr>
        <w:t>号</w:t>
      </w:r>
    </w:p>
    <w:p w14:paraId="443B33F2">
      <w:pPr>
        <w:spacing w:line="500" w:lineRule="exact"/>
        <w:ind w:firstLine="645"/>
        <w:rPr>
          <w:rFonts w:ascii="仿宋" w:hAnsi="仿宋" w:eastAsia="仿宋" w:cs="仿宋"/>
          <w:sz w:val="32"/>
          <w:szCs w:val="32"/>
        </w:rPr>
      </w:pPr>
      <w:r>
        <w:rPr>
          <w:rFonts w:hint="eastAsia" w:ascii="仿宋" w:hAnsi="仿宋" w:eastAsia="仿宋" w:cs="仿宋"/>
          <w:sz w:val="32"/>
          <w:szCs w:val="32"/>
        </w:rPr>
        <w:t>经大冶市人民政府批准，大冶市公共资源交易中心根据</w:t>
      </w:r>
    </w:p>
    <w:p w14:paraId="57A0D4E3">
      <w:pPr>
        <w:spacing w:line="500" w:lineRule="exact"/>
        <w:rPr>
          <w:rFonts w:ascii="仿宋" w:hAnsi="仿宋" w:eastAsia="仿宋" w:cs="仿宋"/>
          <w:sz w:val="32"/>
          <w:szCs w:val="32"/>
        </w:rPr>
      </w:pPr>
      <w:r>
        <w:rPr>
          <w:rFonts w:hint="eastAsia" w:ascii="仿宋" w:hAnsi="仿宋" w:eastAsia="仿宋"/>
          <w:color w:val="FF0000"/>
          <w:sz w:val="32"/>
          <w:szCs w:val="32"/>
        </w:rPr>
        <w:t>大冶市</w:t>
      </w:r>
      <w:r>
        <w:rPr>
          <w:rFonts w:hint="eastAsia" w:ascii="仿宋" w:hAnsi="仿宋" w:eastAsia="仿宋"/>
          <w:color w:val="FF0000"/>
          <w:sz w:val="32"/>
          <w:szCs w:val="32"/>
          <w:lang w:val="en-US" w:eastAsia="zh-CN"/>
        </w:rPr>
        <w:t>还地桥镇马石村村民委员会</w:t>
      </w:r>
      <w:r>
        <w:rPr>
          <w:rFonts w:hint="eastAsia" w:ascii="仿宋" w:hAnsi="仿宋" w:eastAsia="仿宋" w:cs="宋体"/>
          <w:color w:val="333333"/>
          <w:kern w:val="0"/>
          <w:sz w:val="32"/>
          <w:szCs w:val="32"/>
        </w:rPr>
        <w:t>来函意见，</w:t>
      </w:r>
      <w:r>
        <w:rPr>
          <w:rFonts w:hint="eastAsia" w:ascii="仿宋" w:hAnsi="仿宋" w:eastAsia="仿宋" w:cs="仿宋"/>
          <w:sz w:val="32"/>
          <w:szCs w:val="32"/>
        </w:rPr>
        <w:t>我中心决定在大冶市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（http://36.133.17.9:8081/ztb/），以挂牌方式出让</w:t>
      </w:r>
      <w:r>
        <w:rPr>
          <w:rFonts w:hint="eastAsia" w:ascii="仿宋" w:hAnsi="仿宋" w:eastAsia="仿宋" w:cs="仿宋"/>
          <w:sz w:val="32"/>
          <w:szCs w:val="32"/>
          <w:lang w:val="en-US" w:eastAsia="zh-CN"/>
        </w:rPr>
        <w:t>2026001</w:t>
      </w:r>
      <w:r>
        <w:rPr>
          <w:rFonts w:hint="eastAsia" w:ascii="仿宋" w:hAnsi="仿宋" w:eastAsia="仿宋" w:cs="仿宋"/>
          <w:sz w:val="32"/>
          <w:szCs w:val="32"/>
        </w:rPr>
        <w:t>号地块的</w:t>
      </w:r>
      <w:r>
        <w:rPr>
          <w:rFonts w:hint="eastAsia" w:ascii="仿宋" w:hAnsi="仿宋" w:eastAsia="仿宋" w:cs="仿宋"/>
          <w:sz w:val="32"/>
          <w:szCs w:val="32"/>
          <w:lang w:val="en-US" w:eastAsia="zh-CN"/>
        </w:rPr>
        <w:t>农村集体经营性</w:t>
      </w:r>
      <w:r>
        <w:rPr>
          <w:rFonts w:hint="eastAsia" w:ascii="仿宋" w:hAnsi="仿宋" w:eastAsia="仿宋" w:cs="仿宋"/>
          <w:sz w:val="32"/>
          <w:szCs w:val="32"/>
        </w:rPr>
        <w:t>建设用地使用权。现将有关事项公告如下：</w:t>
      </w:r>
    </w:p>
    <w:p w14:paraId="14A75EE9">
      <w:pPr>
        <w:numPr>
          <w:ilvl w:val="0"/>
          <w:numId w:val="2"/>
        </w:numPr>
        <w:spacing w:line="500" w:lineRule="exact"/>
        <w:ind w:left="1350" w:leftChars="0" w:firstLineChars="0"/>
        <w:rPr>
          <w:rFonts w:ascii="仿宋" w:hAnsi="仿宋" w:eastAsia="仿宋" w:cs="仿宋"/>
          <w:sz w:val="32"/>
          <w:szCs w:val="32"/>
        </w:rPr>
      </w:pPr>
      <w:r>
        <w:rPr>
          <w:rFonts w:hint="eastAsia" w:ascii="仿宋" w:hAnsi="仿宋" w:eastAsia="仿宋" w:cs="仿宋"/>
          <w:sz w:val="32"/>
          <w:szCs w:val="32"/>
        </w:rPr>
        <w:t>挂牌出让地块的基本情况及规划指标要求等：</w:t>
      </w:r>
    </w:p>
    <w:tbl>
      <w:tblPr>
        <w:tblStyle w:val="6"/>
        <w:tblW w:w="9643" w:type="dxa"/>
        <w:jc w:val="center"/>
        <w:tblLayout w:type="fixed"/>
        <w:tblCellMar>
          <w:top w:w="0" w:type="dxa"/>
          <w:left w:w="0" w:type="dxa"/>
          <w:bottom w:w="0" w:type="dxa"/>
          <w:right w:w="0" w:type="dxa"/>
        </w:tblCellMar>
      </w:tblPr>
      <w:tblGrid>
        <w:gridCol w:w="771"/>
        <w:gridCol w:w="1549"/>
        <w:gridCol w:w="923"/>
        <w:gridCol w:w="863"/>
        <w:gridCol w:w="833"/>
        <w:gridCol w:w="920"/>
        <w:gridCol w:w="753"/>
        <w:gridCol w:w="705"/>
        <w:gridCol w:w="912"/>
        <w:gridCol w:w="730"/>
        <w:gridCol w:w="684"/>
      </w:tblGrid>
      <w:tr w14:paraId="64BB62A7">
        <w:tblPrEx>
          <w:tblCellMar>
            <w:top w:w="0" w:type="dxa"/>
            <w:left w:w="0" w:type="dxa"/>
            <w:bottom w:w="0" w:type="dxa"/>
            <w:right w:w="0" w:type="dxa"/>
          </w:tblCellMar>
        </w:tblPrEx>
        <w:trPr>
          <w:cantSplit/>
          <w:trHeight w:val="281" w:hRule="atLeast"/>
          <w:jc w:val="center"/>
        </w:trPr>
        <w:tc>
          <w:tcPr>
            <w:tcW w:w="77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88A5AFB">
            <w:pPr>
              <w:spacing w:line="220" w:lineRule="exact"/>
              <w:jc w:val="center"/>
              <w:rPr>
                <w:rFonts w:hint="eastAsia" w:ascii="仿宋" w:hAnsi="仿宋" w:eastAsia="仿宋" w:cs="仿宋"/>
                <w:color w:val="auto"/>
                <w:spacing w:val="-8"/>
                <w:sz w:val="18"/>
                <w:szCs w:val="18"/>
              </w:rPr>
            </w:pPr>
            <w:r>
              <w:rPr>
                <w:rFonts w:hint="eastAsia" w:ascii="仿宋" w:hAnsi="仿宋" w:eastAsia="仿宋" w:cs="仿宋"/>
                <w:color w:val="auto"/>
                <w:spacing w:val="-8"/>
                <w:sz w:val="18"/>
                <w:szCs w:val="18"/>
              </w:rPr>
              <w:t>地块</w:t>
            </w:r>
          </w:p>
          <w:p w14:paraId="168BA872">
            <w:pPr>
              <w:spacing w:line="220" w:lineRule="exact"/>
              <w:jc w:val="center"/>
              <w:rPr>
                <w:rFonts w:hint="eastAsia" w:ascii="仿宋" w:hAnsi="仿宋" w:eastAsia="仿宋" w:cs="仿宋"/>
                <w:color w:val="auto"/>
                <w:spacing w:val="-8"/>
                <w:sz w:val="18"/>
                <w:szCs w:val="18"/>
              </w:rPr>
            </w:pPr>
            <w:r>
              <w:rPr>
                <w:rFonts w:hint="eastAsia" w:ascii="仿宋" w:hAnsi="仿宋" w:eastAsia="仿宋" w:cs="仿宋"/>
                <w:color w:val="auto"/>
                <w:spacing w:val="-8"/>
                <w:sz w:val="18"/>
                <w:szCs w:val="18"/>
              </w:rPr>
              <w:t>编号</w:t>
            </w:r>
          </w:p>
        </w:tc>
        <w:tc>
          <w:tcPr>
            <w:tcW w:w="154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28EBFF2">
            <w:pPr>
              <w:spacing w:line="22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土地坐落</w:t>
            </w:r>
          </w:p>
        </w:tc>
        <w:tc>
          <w:tcPr>
            <w:tcW w:w="923" w:type="dxa"/>
            <w:vMerge w:val="restart"/>
            <w:tcBorders>
              <w:top w:val="single" w:color="auto" w:sz="4" w:space="0"/>
              <w:left w:val="single" w:color="auto" w:sz="4" w:space="0"/>
              <w:bottom w:val="single" w:color="auto" w:sz="4" w:space="0"/>
              <w:right w:val="single" w:color="auto" w:sz="4" w:space="0"/>
            </w:tcBorders>
            <w:vAlign w:val="center"/>
          </w:tcPr>
          <w:p w14:paraId="45631505">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总面积</w:t>
            </w:r>
          </w:p>
        </w:tc>
        <w:tc>
          <w:tcPr>
            <w:tcW w:w="863" w:type="dxa"/>
            <w:vMerge w:val="restart"/>
            <w:tcBorders>
              <w:top w:val="single" w:color="auto" w:sz="4" w:space="0"/>
              <w:left w:val="single" w:color="auto" w:sz="4" w:space="0"/>
              <w:bottom w:val="single" w:color="auto" w:sz="4" w:space="0"/>
              <w:right w:val="single" w:color="auto" w:sz="4" w:space="0"/>
            </w:tcBorders>
            <w:vAlign w:val="center"/>
          </w:tcPr>
          <w:p w14:paraId="0900E19F">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出让面积(㎡)</w:t>
            </w:r>
          </w:p>
        </w:tc>
        <w:tc>
          <w:tcPr>
            <w:tcW w:w="8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A25ECA0">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土地</w:t>
            </w:r>
          </w:p>
          <w:p w14:paraId="4B4015D5">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用途</w:t>
            </w:r>
          </w:p>
        </w:tc>
        <w:tc>
          <w:tcPr>
            <w:tcW w:w="23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93D83BD">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规划指标要求</w:t>
            </w:r>
          </w:p>
        </w:tc>
        <w:tc>
          <w:tcPr>
            <w:tcW w:w="912"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9EF2EBF">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出让</w:t>
            </w:r>
          </w:p>
          <w:p w14:paraId="67374113">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年限</w:t>
            </w:r>
          </w:p>
        </w:tc>
        <w:tc>
          <w:tcPr>
            <w:tcW w:w="730" w:type="dxa"/>
            <w:vMerge w:val="restart"/>
            <w:tcBorders>
              <w:top w:val="single" w:color="auto" w:sz="4" w:space="0"/>
              <w:left w:val="single" w:color="auto" w:sz="4" w:space="0"/>
              <w:bottom w:val="single" w:color="auto" w:sz="4" w:space="0"/>
              <w:right w:val="single" w:color="auto" w:sz="4" w:space="0"/>
            </w:tcBorders>
            <w:vAlign w:val="center"/>
          </w:tcPr>
          <w:p w14:paraId="000A4275">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竞买</w:t>
            </w:r>
          </w:p>
          <w:p w14:paraId="63BCD671">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保证金</w:t>
            </w:r>
          </w:p>
          <w:p w14:paraId="4754A792">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(万元)</w:t>
            </w:r>
          </w:p>
        </w:tc>
        <w:tc>
          <w:tcPr>
            <w:tcW w:w="6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95AE656">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挂牌</w:t>
            </w:r>
          </w:p>
          <w:p w14:paraId="65593D2C">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起始价</w:t>
            </w:r>
          </w:p>
          <w:p w14:paraId="009B3458">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(万元)</w:t>
            </w:r>
          </w:p>
        </w:tc>
      </w:tr>
      <w:tr w14:paraId="23EFD0C1">
        <w:tblPrEx>
          <w:tblCellMar>
            <w:top w:w="0" w:type="dxa"/>
            <w:left w:w="0" w:type="dxa"/>
            <w:bottom w:w="0" w:type="dxa"/>
            <w:right w:w="0" w:type="dxa"/>
          </w:tblCellMar>
        </w:tblPrEx>
        <w:trPr>
          <w:cantSplit/>
          <w:trHeight w:val="403" w:hRule="atLeast"/>
          <w:jc w:val="center"/>
        </w:trPr>
        <w:tc>
          <w:tcPr>
            <w:tcW w:w="771" w:type="dxa"/>
            <w:vMerge w:val="continue"/>
            <w:tcBorders>
              <w:top w:val="single" w:color="auto" w:sz="4" w:space="0"/>
              <w:left w:val="single" w:color="auto" w:sz="4" w:space="0"/>
              <w:bottom w:val="single" w:color="auto" w:sz="4" w:space="0"/>
              <w:right w:val="single" w:color="auto" w:sz="4" w:space="0"/>
            </w:tcBorders>
            <w:vAlign w:val="center"/>
          </w:tcPr>
          <w:p w14:paraId="5B35DB25">
            <w:pPr>
              <w:widowControl/>
              <w:spacing w:line="220" w:lineRule="exact"/>
              <w:jc w:val="center"/>
              <w:rPr>
                <w:rFonts w:hint="eastAsia" w:ascii="仿宋" w:hAnsi="仿宋" w:eastAsia="仿宋" w:cs="仿宋"/>
                <w:color w:val="auto"/>
                <w:sz w:val="18"/>
                <w:szCs w:val="18"/>
              </w:rPr>
            </w:pPr>
          </w:p>
        </w:tc>
        <w:tc>
          <w:tcPr>
            <w:tcW w:w="1549" w:type="dxa"/>
            <w:vMerge w:val="continue"/>
            <w:tcBorders>
              <w:top w:val="single" w:color="auto" w:sz="4" w:space="0"/>
              <w:left w:val="single" w:color="auto" w:sz="4" w:space="0"/>
              <w:bottom w:val="single" w:color="auto" w:sz="4" w:space="0"/>
              <w:right w:val="single" w:color="auto" w:sz="4" w:space="0"/>
            </w:tcBorders>
            <w:vAlign w:val="center"/>
          </w:tcPr>
          <w:p w14:paraId="57003515">
            <w:pPr>
              <w:widowControl/>
              <w:spacing w:line="220" w:lineRule="exact"/>
              <w:jc w:val="center"/>
              <w:rPr>
                <w:rFonts w:hint="eastAsia" w:ascii="仿宋" w:hAnsi="仿宋" w:eastAsia="仿宋" w:cs="仿宋"/>
                <w:color w:val="auto"/>
                <w:kern w:val="0"/>
                <w:sz w:val="18"/>
                <w:szCs w:val="18"/>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14:paraId="51C19C25">
            <w:pPr>
              <w:widowControl/>
              <w:spacing w:line="220" w:lineRule="exact"/>
              <w:jc w:val="center"/>
              <w:rPr>
                <w:rFonts w:hint="eastAsia" w:ascii="仿宋" w:hAnsi="仿宋" w:eastAsia="仿宋" w:cs="仿宋"/>
                <w:color w:val="auto"/>
                <w:sz w:val="18"/>
                <w:szCs w:val="18"/>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14:paraId="1589BE62">
            <w:pPr>
              <w:widowControl/>
              <w:spacing w:line="220" w:lineRule="exact"/>
              <w:jc w:val="center"/>
              <w:rPr>
                <w:rFonts w:hint="eastAsia" w:ascii="仿宋" w:hAnsi="仿宋" w:eastAsia="仿宋" w:cs="仿宋"/>
                <w:color w:val="auto"/>
                <w:sz w:val="18"/>
                <w:szCs w:val="18"/>
              </w:rPr>
            </w:pPr>
          </w:p>
        </w:tc>
        <w:tc>
          <w:tcPr>
            <w:tcW w:w="833" w:type="dxa"/>
            <w:vMerge w:val="continue"/>
            <w:tcBorders>
              <w:top w:val="single" w:color="auto" w:sz="4" w:space="0"/>
              <w:left w:val="single" w:color="auto" w:sz="4" w:space="0"/>
              <w:bottom w:val="single" w:color="auto" w:sz="4" w:space="0"/>
              <w:right w:val="single" w:color="auto" w:sz="4" w:space="0"/>
            </w:tcBorders>
            <w:vAlign w:val="center"/>
          </w:tcPr>
          <w:p w14:paraId="2F9E3987">
            <w:pPr>
              <w:widowControl/>
              <w:spacing w:line="220" w:lineRule="exact"/>
              <w:jc w:val="center"/>
              <w:rPr>
                <w:rFonts w:hint="eastAsia" w:ascii="仿宋" w:hAnsi="仿宋" w:eastAsia="仿宋" w:cs="仿宋"/>
                <w:color w:val="auto"/>
                <w:sz w:val="18"/>
                <w:szCs w:val="18"/>
              </w:rPr>
            </w:pPr>
          </w:p>
        </w:tc>
        <w:tc>
          <w:tcPr>
            <w:tcW w:w="9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A399AF1">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容积率</w:t>
            </w:r>
          </w:p>
        </w:tc>
        <w:tc>
          <w:tcPr>
            <w:tcW w:w="7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DD5CFB6">
            <w:pPr>
              <w:spacing w:line="220" w:lineRule="exact"/>
              <w:ind w:firstLine="90" w:firstLineChars="50"/>
              <w:jc w:val="center"/>
              <w:rPr>
                <w:rFonts w:hint="eastAsia" w:ascii="仿宋" w:hAnsi="仿宋" w:eastAsia="仿宋" w:cs="仿宋"/>
                <w:color w:val="auto"/>
                <w:sz w:val="18"/>
                <w:szCs w:val="18"/>
              </w:rPr>
            </w:pPr>
            <w:r>
              <w:rPr>
                <w:rFonts w:hint="eastAsia" w:ascii="仿宋" w:hAnsi="仿宋" w:eastAsia="仿宋" w:cs="仿宋"/>
                <w:color w:val="auto"/>
                <w:sz w:val="18"/>
                <w:szCs w:val="18"/>
              </w:rPr>
              <w:t>建筑</w:t>
            </w:r>
          </w:p>
          <w:p w14:paraId="4A4F45F7">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密度(%)</w:t>
            </w:r>
          </w:p>
        </w:tc>
        <w:tc>
          <w:tcPr>
            <w:tcW w:w="7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331E5F1">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绿地率(%)</w:t>
            </w:r>
          </w:p>
        </w:tc>
        <w:tc>
          <w:tcPr>
            <w:tcW w:w="912" w:type="dxa"/>
            <w:vMerge w:val="continue"/>
            <w:tcBorders>
              <w:top w:val="single" w:color="auto" w:sz="4" w:space="0"/>
              <w:left w:val="single" w:color="auto" w:sz="4" w:space="0"/>
              <w:bottom w:val="single" w:color="auto" w:sz="4" w:space="0"/>
              <w:right w:val="single" w:color="auto" w:sz="4" w:space="0"/>
            </w:tcBorders>
            <w:vAlign w:val="center"/>
          </w:tcPr>
          <w:p w14:paraId="0C199BC7">
            <w:pPr>
              <w:widowControl/>
              <w:spacing w:line="220" w:lineRule="exact"/>
              <w:jc w:val="center"/>
              <w:rPr>
                <w:rFonts w:hint="eastAsia" w:ascii="仿宋" w:hAnsi="仿宋" w:eastAsia="仿宋" w:cs="仿宋"/>
                <w:color w:val="auto"/>
                <w:sz w:val="18"/>
                <w:szCs w:val="18"/>
              </w:rPr>
            </w:pPr>
          </w:p>
        </w:tc>
        <w:tc>
          <w:tcPr>
            <w:tcW w:w="730" w:type="dxa"/>
            <w:vMerge w:val="continue"/>
            <w:tcBorders>
              <w:top w:val="single" w:color="auto" w:sz="4" w:space="0"/>
              <w:left w:val="single" w:color="auto" w:sz="4" w:space="0"/>
              <w:bottom w:val="single" w:color="auto" w:sz="4" w:space="0"/>
              <w:right w:val="single" w:color="auto" w:sz="4" w:space="0"/>
            </w:tcBorders>
            <w:vAlign w:val="center"/>
          </w:tcPr>
          <w:p w14:paraId="6474E403">
            <w:pPr>
              <w:widowControl/>
              <w:spacing w:line="220" w:lineRule="exact"/>
              <w:jc w:val="center"/>
              <w:rPr>
                <w:rFonts w:hint="eastAsia" w:ascii="仿宋" w:hAnsi="仿宋" w:eastAsia="仿宋" w:cs="仿宋"/>
                <w:color w:val="auto"/>
                <w:sz w:val="18"/>
                <w:szCs w:val="18"/>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14:paraId="772A897E">
            <w:pPr>
              <w:widowControl/>
              <w:spacing w:line="220" w:lineRule="exact"/>
              <w:jc w:val="center"/>
              <w:rPr>
                <w:rFonts w:hint="eastAsia" w:ascii="仿宋" w:hAnsi="仿宋" w:eastAsia="仿宋" w:cs="仿宋"/>
                <w:color w:val="auto"/>
                <w:sz w:val="18"/>
                <w:szCs w:val="18"/>
              </w:rPr>
            </w:pPr>
          </w:p>
        </w:tc>
      </w:tr>
      <w:tr w14:paraId="040ADA1C">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623B66A4">
            <w:pPr>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2026001</w:t>
            </w:r>
          </w:p>
        </w:tc>
        <w:tc>
          <w:tcPr>
            <w:tcW w:w="1549" w:type="dxa"/>
            <w:tcBorders>
              <w:top w:val="single" w:color="auto" w:sz="4" w:space="0"/>
              <w:left w:val="single" w:color="auto" w:sz="4" w:space="0"/>
              <w:bottom w:val="single" w:color="auto" w:sz="4" w:space="0"/>
              <w:right w:val="single" w:color="auto" w:sz="4" w:space="0"/>
            </w:tcBorders>
            <w:vAlign w:val="center"/>
          </w:tcPr>
          <w:p w14:paraId="3C333F21">
            <w:pPr>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还地桥镇马石村马石街</w:t>
            </w:r>
          </w:p>
        </w:tc>
        <w:tc>
          <w:tcPr>
            <w:tcW w:w="923" w:type="dxa"/>
            <w:tcBorders>
              <w:top w:val="single" w:color="auto" w:sz="4" w:space="0"/>
              <w:left w:val="single" w:color="auto" w:sz="4" w:space="0"/>
              <w:bottom w:val="single" w:color="auto" w:sz="4" w:space="0"/>
              <w:right w:val="single" w:color="auto" w:sz="4" w:space="0"/>
            </w:tcBorders>
            <w:vAlign w:val="center"/>
          </w:tcPr>
          <w:p w14:paraId="4C78B459">
            <w:pPr>
              <w:spacing w:line="240" w:lineRule="exact"/>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3575.39</w:t>
            </w:r>
          </w:p>
        </w:tc>
        <w:tc>
          <w:tcPr>
            <w:tcW w:w="863" w:type="dxa"/>
            <w:tcBorders>
              <w:top w:val="single" w:color="auto" w:sz="4" w:space="0"/>
              <w:left w:val="single" w:color="auto" w:sz="4" w:space="0"/>
              <w:bottom w:val="single" w:color="auto" w:sz="4" w:space="0"/>
              <w:right w:val="single" w:color="auto" w:sz="4" w:space="0"/>
            </w:tcBorders>
            <w:vAlign w:val="center"/>
          </w:tcPr>
          <w:p w14:paraId="0E1E8DB5">
            <w:pPr>
              <w:spacing w:line="240" w:lineRule="exact"/>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3575.39</w:t>
            </w:r>
          </w:p>
        </w:tc>
        <w:tc>
          <w:tcPr>
            <w:tcW w:w="833" w:type="dxa"/>
            <w:tcBorders>
              <w:top w:val="single" w:color="auto" w:sz="4" w:space="0"/>
              <w:left w:val="single" w:color="auto" w:sz="4" w:space="0"/>
              <w:bottom w:val="single" w:color="auto" w:sz="4" w:space="0"/>
              <w:right w:val="single" w:color="auto" w:sz="4" w:space="0"/>
            </w:tcBorders>
            <w:vAlign w:val="center"/>
          </w:tcPr>
          <w:p w14:paraId="4C1F59F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工业用地</w:t>
            </w:r>
          </w:p>
        </w:tc>
        <w:tc>
          <w:tcPr>
            <w:tcW w:w="9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ACCB5E3">
            <w:pPr>
              <w:spacing w:line="240" w:lineRule="exact"/>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≥1.0</w:t>
            </w:r>
          </w:p>
        </w:tc>
        <w:tc>
          <w:tcPr>
            <w:tcW w:w="7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0FA3D26">
            <w:pPr>
              <w:spacing w:line="240" w:lineRule="exact"/>
              <w:jc w:val="center"/>
              <w:rPr>
                <w:rFonts w:hint="default" w:ascii="仿宋" w:hAnsi="仿宋" w:eastAsia="仿宋" w:cs="仿宋"/>
                <w:color w:val="auto"/>
                <w:sz w:val="18"/>
                <w:szCs w:val="18"/>
                <w:lang w:val="en-US"/>
              </w:rPr>
            </w:pPr>
            <w:r>
              <w:rPr>
                <w:rFonts w:hint="eastAsia" w:ascii="仿宋" w:hAnsi="仿宋" w:eastAsia="仿宋" w:cs="仿宋"/>
                <w:color w:val="auto"/>
                <w:sz w:val="18"/>
                <w:szCs w:val="18"/>
                <w:lang w:val="en-US" w:eastAsia="zh-CN"/>
              </w:rPr>
              <w:t>≥40</w:t>
            </w:r>
          </w:p>
        </w:tc>
        <w:tc>
          <w:tcPr>
            <w:tcW w:w="7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64C22ED">
            <w:pPr>
              <w:spacing w:line="240" w:lineRule="exact"/>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≤15</w:t>
            </w:r>
          </w:p>
        </w:tc>
        <w:tc>
          <w:tcPr>
            <w:tcW w:w="912" w:type="dxa"/>
            <w:tcBorders>
              <w:top w:val="single" w:color="auto" w:sz="4" w:space="0"/>
              <w:left w:val="single" w:color="auto" w:sz="4" w:space="0"/>
              <w:bottom w:val="single" w:color="auto" w:sz="4" w:space="0"/>
              <w:right w:val="single" w:color="auto" w:sz="4" w:space="0"/>
            </w:tcBorders>
            <w:vAlign w:val="center"/>
          </w:tcPr>
          <w:p w14:paraId="743016D1">
            <w:pPr>
              <w:spacing w:line="220" w:lineRule="exact"/>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50</w:t>
            </w:r>
          </w:p>
        </w:tc>
        <w:tc>
          <w:tcPr>
            <w:tcW w:w="730" w:type="dxa"/>
            <w:tcBorders>
              <w:top w:val="single" w:color="auto" w:sz="4" w:space="0"/>
              <w:left w:val="single" w:color="auto" w:sz="4" w:space="0"/>
              <w:bottom w:val="single" w:color="auto" w:sz="4" w:space="0"/>
              <w:right w:val="single" w:color="auto" w:sz="4" w:space="0"/>
            </w:tcBorders>
            <w:vAlign w:val="center"/>
          </w:tcPr>
          <w:p w14:paraId="5F8D3C5A">
            <w:pPr>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7</w:t>
            </w:r>
          </w:p>
        </w:tc>
        <w:tc>
          <w:tcPr>
            <w:tcW w:w="684" w:type="dxa"/>
            <w:tcBorders>
              <w:top w:val="single" w:color="auto" w:sz="4" w:space="0"/>
              <w:left w:val="single" w:color="auto" w:sz="4" w:space="0"/>
              <w:bottom w:val="single" w:color="auto" w:sz="4" w:space="0"/>
              <w:right w:val="single" w:color="auto" w:sz="4" w:space="0"/>
            </w:tcBorders>
            <w:vAlign w:val="center"/>
          </w:tcPr>
          <w:p w14:paraId="5A35B464">
            <w:pPr>
              <w:spacing w:line="240" w:lineRule="exact"/>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69.81</w:t>
            </w:r>
          </w:p>
        </w:tc>
      </w:tr>
    </w:tbl>
    <w:p w14:paraId="7558AEB6">
      <w:pPr>
        <w:numPr>
          <w:ilvl w:val="0"/>
          <w:numId w:val="0"/>
        </w:numPr>
        <w:spacing w:line="500" w:lineRule="exact"/>
        <w:rPr>
          <w:rFonts w:ascii="仿宋" w:hAnsi="仿宋" w:eastAsia="仿宋" w:cs="仿宋"/>
          <w:sz w:val="32"/>
          <w:szCs w:val="32"/>
        </w:rPr>
      </w:pPr>
    </w:p>
    <w:p w14:paraId="7CC26F22">
      <w:pPr>
        <w:spacing w:line="460" w:lineRule="exact"/>
        <w:rPr>
          <w:rFonts w:ascii="仿宋" w:hAnsi="仿宋" w:eastAsia="仿宋" w:cs="仿宋"/>
          <w:sz w:val="32"/>
          <w:szCs w:val="32"/>
        </w:rPr>
      </w:pPr>
      <w:r>
        <w:rPr>
          <w:rFonts w:hint="eastAsia" w:ascii="仿宋" w:hAnsi="仿宋" w:eastAsia="仿宋" w:cs="仿宋"/>
          <w:sz w:val="32"/>
          <w:szCs w:val="32"/>
        </w:rPr>
        <w:t>二、中华人民共和国境内外的法人、自然人和其他组织均可申请参加，申请人可以单独申请，也可以联合申请。</w:t>
      </w:r>
    </w:p>
    <w:p w14:paraId="1C5C2039">
      <w:pPr>
        <w:spacing w:line="420" w:lineRule="exact"/>
        <w:ind w:firstLine="646"/>
        <w:rPr>
          <w:rFonts w:ascii="仿宋" w:hAnsi="仿宋" w:eastAsia="仿宋" w:cs="仿宋"/>
          <w:sz w:val="32"/>
          <w:szCs w:val="32"/>
        </w:rPr>
      </w:pPr>
      <w:r>
        <w:rPr>
          <w:rFonts w:hint="eastAsia" w:ascii="仿宋" w:hAnsi="仿宋" w:eastAsia="仿宋" w:cs="仿宋"/>
          <w:sz w:val="32"/>
          <w:szCs w:val="32"/>
        </w:rPr>
        <w:t>三、竞买申请人在参与网上挂牌交易活动期间须在“信用中国”网站（http://www.creditchina.gov.cn）无失信记录，若存在失信记录参加竞买活动的，其竞买申请为无效申请，竞买申请人自行承担相关法律后果。</w:t>
      </w:r>
    </w:p>
    <w:p w14:paraId="0A3D4AC4">
      <w:pPr>
        <w:spacing w:line="420" w:lineRule="exact"/>
        <w:ind w:firstLine="646"/>
        <w:rPr>
          <w:rFonts w:ascii="仿宋" w:hAnsi="仿宋" w:eastAsia="仿宋" w:cs="仿宋"/>
          <w:sz w:val="32"/>
          <w:szCs w:val="32"/>
        </w:rPr>
      </w:pPr>
      <w:r>
        <w:rPr>
          <w:rFonts w:hint="eastAsia" w:ascii="仿宋" w:hAnsi="仿宋" w:eastAsia="仿宋" w:cs="仿宋"/>
          <w:sz w:val="32"/>
          <w:szCs w:val="32"/>
        </w:rPr>
        <w:t>四、本次</w:t>
      </w:r>
      <w:r>
        <w:rPr>
          <w:rFonts w:hint="eastAsia" w:ascii="仿宋" w:hAnsi="仿宋" w:eastAsia="仿宋" w:cs="仿宋"/>
          <w:sz w:val="32"/>
          <w:szCs w:val="32"/>
          <w:lang w:val="en-US" w:eastAsia="zh-CN"/>
        </w:rPr>
        <w:t>农村集体经营性</w:t>
      </w:r>
      <w:r>
        <w:rPr>
          <w:rFonts w:hint="eastAsia" w:ascii="仿宋" w:hAnsi="仿宋" w:eastAsia="仿宋" w:cs="仿宋"/>
          <w:sz w:val="32"/>
          <w:szCs w:val="32"/>
        </w:rPr>
        <w:t>建设用地使用权挂牌出让按照价高者得原则确定竞得人。</w:t>
      </w:r>
    </w:p>
    <w:p w14:paraId="61C47721">
      <w:pPr>
        <w:spacing w:line="420" w:lineRule="exact"/>
        <w:ind w:firstLine="646"/>
        <w:rPr>
          <w:rFonts w:ascii="仿宋" w:hAnsi="仿宋" w:eastAsia="仿宋" w:cs="仿宋"/>
          <w:sz w:val="32"/>
          <w:szCs w:val="32"/>
        </w:rPr>
      </w:pPr>
      <w:r>
        <w:rPr>
          <w:rFonts w:hint="eastAsia" w:ascii="仿宋" w:hAnsi="仿宋" w:eastAsia="仿宋" w:cs="仿宋"/>
          <w:sz w:val="32"/>
          <w:szCs w:val="32"/>
        </w:rPr>
        <w:t>五、本次挂牌出让的详细资料和具体要求，见挂牌出让文件。申请人可于202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下载挂牌出让文件。</w:t>
      </w:r>
    </w:p>
    <w:p w14:paraId="425AA1EF">
      <w:pPr>
        <w:spacing w:line="420" w:lineRule="exact"/>
        <w:ind w:firstLine="646"/>
        <w:rPr>
          <w:rFonts w:ascii="仿宋" w:hAnsi="仿宋" w:eastAsia="仿宋" w:cs="仿宋"/>
          <w:sz w:val="32"/>
          <w:szCs w:val="32"/>
        </w:rPr>
      </w:pPr>
      <w:r>
        <w:rPr>
          <w:rFonts w:hint="eastAsia" w:ascii="仿宋" w:hAnsi="仿宋" w:eastAsia="仿宋" w:cs="仿宋"/>
          <w:sz w:val="32"/>
          <w:szCs w:val="32"/>
        </w:rPr>
        <w:t>六、申请人可于202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日至20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日，向我中心提交书面申请。交纳竞买保证金的截止时间为202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w:t>
      </w:r>
      <w:r>
        <w:rPr>
          <w:rFonts w:hint="eastAsia" w:ascii="仿宋_GB2312" w:hAnsi="仿宋_GB2312" w:eastAsia="仿宋_GB2312" w:cs="仿宋_GB2312"/>
          <w:color w:val="FF0000"/>
          <w:sz w:val="32"/>
          <w:szCs w:val="32"/>
        </w:rPr>
        <w:t>（收款单位：大冶市公共资源交易中心；开户行：湖北银行股份有限公司大冶支行；账号：1811101201000102980000000；付款账户：</w:t>
      </w:r>
      <w:r>
        <w:rPr>
          <w:rFonts w:hint="eastAsia" w:ascii="仿宋" w:hAnsi="仿宋" w:eastAsia="仿宋" w:cs="仿宋"/>
          <w:color w:val="FF0000"/>
          <w:sz w:val="32"/>
          <w:szCs w:val="32"/>
        </w:rPr>
        <w:t>申请人单位账户)。</w:t>
      </w:r>
      <w:r>
        <w:rPr>
          <w:rFonts w:hint="eastAsia" w:ascii="仿宋" w:hAnsi="仿宋" w:eastAsia="仿宋" w:cs="仿宋"/>
          <w:sz w:val="32"/>
          <w:szCs w:val="32"/>
        </w:rPr>
        <w:t>经审查，申请人按规定交纳竞买保证金，具备申请条件的，我中心将在202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时前确认其竞买资格。</w:t>
      </w:r>
    </w:p>
    <w:p w14:paraId="76444C55">
      <w:pPr>
        <w:spacing w:line="420" w:lineRule="exact"/>
        <w:ind w:firstLine="646"/>
        <w:rPr>
          <w:rFonts w:ascii="仿宋" w:hAnsi="仿宋" w:eastAsia="仿宋" w:cs="仿宋"/>
          <w:color w:val="FF0000"/>
          <w:sz w:val="32"/>
          <w:szCs w:val="32"/>
        </w:rPr>
      </w:pPr>
      <w:r>
        <w:rPr>
          <w:rFonts w:hint="eastAsia" w:ascii="仿宋" w:hAnsi="仿宋" w:eastAsia="仿宋" w:cs="仿宋"/>
          <w:sz w:val="32"/>
          <w:szCs w:val="32"/>
        </w:rPr>
        <w:t>七、本次</w:t>
      </w:r>
      <w:r>
        <w:rPr>
          <w:rFonts w:hint="eastAsia" w:ascii="仿宋" w:hAnsi="仿宋" w:eastAsia="仿宋" w:cs="仿宋"/>
          <w:sz w:val="32"/>
          <w:szCs w:val="32"/>
          <w:lang w:val="en-US" w:eastAsia="zh-CN"/>
        </w:rPr>
        <w:t>农村集体经营性</w:t>
      </w:r>
      <w:r>
        <w:rPr>
          <w:rFonts w:hint="eastAsia" w:ascii="仿宋" w:hAnsi="仿宋" w:eastAsia="仿宋" w:cs="仿宋"/>
          <w:sz w:val="32"/>
          <w:szCs w:val="32"/>
        </w:rPr>
        <w:t>建设用地使用权挂牌地点为大冶市公共资源交易中心，挂牌时间为202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日上午10时至202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14</w:t>
      </w:r>
      <w:r>
        <w:rPr>
          <w:rFonts w:hint="eastAsia" w:ascii="仿宋" w:hAnsi="仿宋" w:eastAsia="仿宋" w:cs="仿宋"/>
          <w:sz w:val="32"/>
          <w:szCs w:val="32"/>
        </w:rPr>
        <w:t>日上午10时。</w:t>
      </w:r>
    </w:p>
    <w:p w14:paraId="5BEEA2EB">
      <w:pPr>
        <w:spacing w:line="420" w:lineRule="exact"/>
        <w:ind w:firstLine="646"/>
        <w:rPr>
          <w:rFonts w:ascii="仿宋" w:hAnsi="仿宋" w:eastAsia="仿宋" w:cs="仿宋"/>
          <w:sz w:val="32"/>
          <w:szCs w:val="32"/>
        </w:rPr>
      </w:pPr>
      <w:r>
        <w:rPr>
          <w:rFonts w:hint="eastAsia" w:ascii="仿宋" w:hAnsi="仿宋" w:eastAsia="仿宋" w:cs="仿宋"/>
          <w:sz w:val="32"/>
          <w:szCs w:val="32"/>
        </w:rPr>
        <w:t>八、其他需要公告的事项</w:t>
      </w:r>
    </w:p>
    <w:p w14:paraId="7F21A310">
      <w:pPr>
        <w:spacing w:line="420" w:lineRule="exact"/>
        <w:ind w:firstLine="646"/>
        <w:rPr>
          <w:rFonts w:ascii="仿宋" w:hAnsi="仿宋" w:eastAsia="仿宋" w:cs="仿宋"/>
          <w:sz w:val="32"/>
          <w:szCs w:val="32"/>
        </w:rPr>
      </w:pPr>
      <w:r>
        <w:rPr>
          <w:rFonts w:hint="eastAsia" w:ascii="仿宋" w:hAnsi="仿宋" w:eastAsia="仿宋" w:cs="仿宋"/>
          <w:sz w:val="32"/>
          <w:szCs w:val="32"/>
        </w:rPr>
        <w:t>（一）挂牌时间截止时，有竞买人表示愿意继续竞价，转入现场竞价，通过现场竞价确定竞得人。</w:t>
      </w:r>
    </w:p>
    <w:p w14:paraId="43CF37C9">
      <w:pPr>
        <w:spacing w:line="420" w:lineRule="exact"/>
        <w:ind w:firstLine="646"/>
        <w:rPr>
          <w:rFonts w:ascii="仿宋" w:hAnsi="仿宋" w:eastAsia="仿宋" w:cs="仿宋"/>
          <w:sz w:val="32"/>
          <w:szCs w:val="32"/>
        </w:rPr>
      </w:pPr>
      <w:r>
        <w:rPr>
          <w:rFonts w:hint="eastAsia" w:ascii="仿宋" w:hAnsi="仿宋" w:eastAsia="仿宋" w:cs="仿宋"/>
          <w:sz w:val="32"/>
          <w:szCs w:val="32"/>
        </w:rPr>
        <w:t>（二）本期土地挂牌出让的事项如有变更，将发布变更公告，届时以变更公告为准。本期土地挂牌出让的详细情况，以《挂牌出让文件》载明的为准。</w:t>
      </w:r>
    </w:p>
    <w:p w14:paraId="73196999">
      <w:pPr>
        <w:spacing w:line="420" w:lineRule="exact"/>
        <w:ind w:firstLine="646"/>
        <w:rPr>
          <w:rFonts w:ascii="仿宋" w:hAnsi="仿宋" w:eastAsia="仿宋" w:cs="仿宋"/>
          <w:sz w:val="32"/>
          <w:szCs w:val="32"/>
        </w:rPr>
      </w:pPr>
      <w:r>
        <w:rPr>
          <w:rFonts w:hint="eastAsia" w:ascii="仿宋" w:hAnsi="仿宋" w:eastAsia="仿宋" w:cs="仿宋"/>
          <w:sz w:val="32"/>
          <w:szCs w:val="32"/>
        </w:rPr>
        <w:t>九、联系方式</w:t>
      </w:r>
    </w:p>
    <w:p w14:paraId="33B346A6">
      <w:pPr>
        <w:spacing w:line="420" w:lineRule="exact"/>
        <w:ind w:firstLine="646"/>
        <w:rPr>
          <w:rFonts w:ascii="仿宋" w:hAnsi="仿宋" w:eastAsia="仿宋" w:cs="仿宋"/>
          <w:sz w:val="32"/>
          <w:szCs w:val="32"/>
        </w:rPr>
      </w:pPr>
      <w:r>
        <w:rPr>
          <w:rFonts w:hint="eastAsia" w:ascii="仿宋" w:hAnsi="仿宋" w:eastAsia="仿宋" w:cs="仿宋"/>
          <w:sz w:val="32"/>
          <w:szCs w:val="32"/>
        </w:rPr>
        <w:t>联系地址：湖北省大冶市大棋西路2号</w:t>
      </w:r>
    </w:p>
    <w:p w14:paraId="2F7F1513">
      <w:pPr>
        <w:spacing w:line="420" w:lineRule="exact"/>
        <w:ind w:firstLine="646"/>
        <w:rPr>
          <w:rFonts w:ascii="仿宋" w:hAnsi="仿宋" w:eastAsia="仿宋" w:cs="仿宋"/>
          <w:sz w:val="32"/>
          <w:szCs w:val="32"/>
        </w:rPr>
      </w:pPr>
      <w:r>
        <w:rPr>
          <w:rFonts w:hint="eastAsia" w:ascii="仿宋" w:hAnsi="仿宋" w:eastAsia="仿宋" w:cs="仿宋"/>
          <w:sz w:val="32"/>
          <w:szCs w:val="32"/>
        </w:rPr>
        <w:t>联系电话：0714-3188055</w:t>
      </w:r>
    </w:p>
    <w:p w14:paraId="42B4F817">
      <w:pPr>
        <w:spacing w:line="420" w:lineRule="exact"/>
        <w:ind w:firstLine="646"/>
        <w:rPr>
          <w:rFonts w:ascii="仿宋" w:hAnsi="仿宋" w:eastAsia="仿宋" w:cs="仿宋"/>
          <w:sz w:val="32"/>
          <w:szCs w:val="32"/>
        </w:rPr>
      </w:pPr>
      <w:r>
        <w:rPr>
          <w:rFonts w:hint="eastAsia" w:ascii="仿宋" w:hAnsi="仿宋" w:eastAsia="仿宋" w:cs="仿宋"/>
          <w:sz w:val="32"/>
          <w:szCs w:val="32"/>
        </w:rPr>
        <w:t>联 系 人：胡女士</w:t>
      </w:r>
    </w:p>
    <w:p w14:paraId="59BE96CA">
      <w:pPr>
        <w:spacing w:line="440" w:lineRule="exact"/>
        <w:ind w:firstLine="1280" w:firstLineChars="400"/>
        <w:jc w:val="both"/>
        <w:rPr>
          <w:rFonts w:hint="eastAsia" w:ascii="仿宋" w:hAnsi="仿宋" w:eastAsia="仿宋" w:cs="仿宋"/>
          <w:sz w:val="32"/>
          <w:szCs w:val="32"/>
        </w:rPr>
      </w:pPr>
    </w:p>
    <w:p w14:paraId="4D0EA192">
      <w:pPr>
        <w:spacing w:line="440" w:lineRule="exact"/>
        <w:ind w:firstLine="1920" w:firstLineChars="600"/>
        <w:jc w:val="both"/>
        <w:rPr>
          <w:rFonts w:hint="default" w:ascii="仿宋" w:hAnsi="仿宋" w:eastAsia="仿宋" w:cs="仿宋"/>
          <w:sz w:val="32"/>
          <w:szCs w:val="32"/>
          <w:lang w:val="en-US" w:eastAsia="zh-CN"/>
        </w:rPr>
      </w:pPr>
      <w:r>
        <w:rPr>
          <w:rFonts w:hint="eastAsia" w:ascii="仿宋" w:hAnsi="仿宋" w:eastAsia="仿宋" w:cs="仿宋"/>
          <w:sz w:val="32"/>
          <w:szCs w:val="32"/>
        </w:rPr>
        <w:t xml:space="preserve">出让人: </w:t>
      </w:r>
      <w:r>
        <w:rPr>
          <w:rFonts w:hint="eastAsia" w:ascii="仿宋" w:hAnsi="仿宋" w:eastAsia="仿宋"/>
          <w:color w:val="FF0000"/>
          <w:sz w:val="32"/>
          <w:szCs w:val="32"/>
        </w:rPr>
        <w:t>大冶市</w:t>
      </w:r>
      <w:r>
        <w:rPr>
          <w:rFonts w:hint="eastAsia" w:ascii="仿宋" w:hAnsi="仿宋" w:eastAsia="仿宋"/>
          <w:color w:val="FF0000"/>
          <w:sz w:val="32"/>
          <w:szCs w:val="32"/>
          <w:lang w:val="en-US" w:eastAsia="zh-CN"/>
        </w:rPr>
        <w:t>还地桥镇马石村村民委员会</w:t>
      </w:r>
    </w:p>
    <w:p w14:paraId="16F52193">
      <w:pPr>
        <w:spacing w:line="440" w:lineRule="exact"/>
        <w:ind w:firstLine="1942" w:firstLineChars="607"/>
        <w:jc w:val="both"/>
        <w:rPr>
          <w:rFonts w:ascii="仿宋" w:hAnsi="仿宋" w:eastAsia="仿宋" w:cs="仿宋"/>
          <w:sz w:val="32"/>
          <w:szCs w:val="32"/>
        </w:rPr>
      </w:pPr>
      <w:r>
        <w:rPr>
          <w:rFonts w:hint="eastAsia" w:ascii="仿宋" w:hAnsi="仿宋" w:eastAsia="仿宋" w:cs="仿宋"/>
          <w:sz w:val="32"/>
          <w:szCs w:val="32"/>
        </w:rPr>
        <w:t>挂牌人：大冶市公共资源交易中心</w:t>
      </w:r>
    </w:p>
    <w:p w14:paraId="7FDA0484">
      <w:pPr>
        <w:spacing w:line="440" w:lineRule="exact"/>
        <w:ind w:firstLine="3520" w:firstLineChars="1100"/>
        <w:rPr>
          <w:rFonts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w:t>
      </w:r>
    </w:p>
    <w:p w14:paraId="048058D6">
      <w:pPr>
        <w:spacing w:line="440" w:lineRule="exact"/>
        <w:ind w:firstLine="646"/>
        <w:rPr>
          <w:rFonts w:ascii="仿宋" w:hAnsi="仿宋" w:eastAsia="仿宋" w:cs="仿宋"/>
          <w:sz w:val="32"/>
          <w:szCs w:val="32"/>
        </w:rPr>
      </w:pPr>
    </w:p>
    <w:p w14:paraId="16F2F07D">
      <w:pPr>
        <w:tabs>
          <w:tab w:val="left" w:pos="7515"/>
        </w:tabs>
        <w:spacing w:line="580" w:lineRule="exact"/>
        <w:jc w:val="center"/>
        <w:rPr>
          <w:rFonts w:hint="eastAsia" w:ascii="宋体" w:hAnsi="宋体"/>
          <w:b/>
          <w:sz w:val="44"/>
          <w:szCs w:val="44"/>
        </w:rPr>
      </w:pPr>
    </w:p>
    <w:p w14:paraId="1A58DFA7">
      <w:pPr>
        <w:tabs>
          <w:tab w:val="left" w:pos="7515"/>
        </w:tabs>
        <w:spacing w:line="580" w:lineRule="exact"/>
        <w:jc w:val="center"/>
        <w:rPr>
          <w:rFonts w:hint="eastAsia" w:ascii="宋体" w:hAnsi="宋体"/>
          <w:b/>
          <w:sz w:val="44"/>
          <w:szCs w:val="44"/>
        </w:rPr>
      </w:pPr>
    </w:p>
    <w:p w14:paraId="6F45D53B">
      <w:pPr>
        <w:tabs>
          <w:tab w:val="left" w:pos="7515"/>
        </w:tabs>
        <w:spacing w:line="580" w:lineRule="exact"/>
        <w:jc w:val="center"/>
        <w:rPr>
          <w:rFonts w:hint="eastAsia" w:ascii="宋体" w:hAnsi="宋体"/>
          <w:b/>
          <w:sz w:val="44"/>
          <w:szCs w:val="44"/>
        </w:rPr>
      </w:pPr>
    </w:p>
    <w:p w14:paraId="1BC1CBDC">
      <w:pPr>
        <w:tabs>
          <w:tab w:val="left" w:pos="7515"/>
        </w:tabs>
        <w:spacing w:line="580" w:lineRule="exact"/>
        <w:jc w:val="center"/>
        <w:rPr>
          <w:rFonts w:hint="eastAsia" w:ascii="宋体" w:hAnsi="宋体"/>
          <w:b/>
          <w:sz w:val="44"/>
          <w:szCs w:val="44"/>
        </w:rPr>
      </w:pPr>
    </w:p>
    <w:p w14:paraId="6C3E26E0">
      <w:pPr>
        <w:tabs>
          <w:tab w:val="left" w:pos="7515"/>
        </w:tabs>
        <w:spacing w:line="580" w:lineRule="exact"/>
        <w:jc w:val="both"/>
        <w:rPr>
          <w:rFonts w:hint="eastAsia" w:ascii="宋体" w:hAnsi="宋体"/>
          <w:b/>
          <w:sz w:val="44"/>
          <w:szCs w:val="44"/>
        </w:rPr>
      </w:pPr>
    </w:p>
    <w:p w14:paraId="79150602">
      <w:pPr>
        <w:tabs>
          <w:tab w:val="left" w:pos="7515"/>
        </w:tabs>
        <w:spacing w:line="580" w:lineRule="exact"/>
        <w:ind w:firstLine="442" w:firstLineChars="100"/>
        <w:jc w:val="both"/>
        <w:rPr>
          <w:rFonts w:hint="eastAsia" w:ascii="宋体" w:hAnsi="宋体"/>
          <w:b/>
          <w:sz w:val="44"/>
          <w:szCs w:val="44"/>
        </w:rPr>
      </w:pPr>
    </w:p>
    <w:p w14:paraId="27A75A49">
      <w:pPr>
        <w:tabs>
          <w:tab w:val="left" w:pos="7515"/>
        </w:tabs>
        <w:spacing w:line="580" w:lineRule="exact"/>
        <w:ind w:firstLine="442" w:firstLineChars="100"/>
        <w:jc w:val="both"/>
        <w:rPr>
          <w:rFonts w:hint="eastAsia" w:ascii="宋体" w:hAnsi="宋体"/>
          <w:b/>
          <w:sz w:val="44"/>
          <w:szCs w:val="44"/>
        </w:rPr>
      </w:pPr>
    </w:p>
    <w:p w14:paraId="308B11CF">
      <w:pPr>
        <w:tabs>
          <w:tab w:val="left" w:pos="7515"/>
        </w:tabs>
        <w:spacing w:line="580" w:lineRule="exact"/>
        <w:ind w:firstLine="442" w:firstLineChars="100"/>
        <w:jc w:val="both"/>
        <w:rPr>
          <w:rFonts w:hint="eastAsia" w:ascii="宋体" w:hAnsi="宋体"/>
          <w:b/>
          <w:sz w:val="44"/>
          <w:szCs w:val="44"/>
        </w:rPr>
      </w:pPr>
    </w:p>
    <w:p w14:paraId="00B6FC93">
      <w:pPr>
        <w:tabs>
          <w:tab w:val="left" w:pos="7515"/>
        </w:tabs>
        <w:spacing w:line="580" w:lineRule="exact"/>
        <w:ind w:firstLine="442" w:firstLineChars="100"/>
        <w:jc w:val="both"/>
        <w:rPr>
          <w:rFonts w:hint="eastAsia" w:ascii="宋体" w:hAnsi="宋体"/>
          <w:b/>
          <w:sz w:val="44"/>
          <w:szCs w:val="44"/>
        </w:rPr>
      </w:pPr>
    </w:p>
    <w:p w14:paraId="5D3A3A04">
      <w:pPr>
        <w:tabs>
          <w:tab w:val="left" w:pos="7515"/>
        </w:tabs>
        <w:spacing w:line="580" w:lineRule="exact"/>
        <w:ind w:firstLine="442" w:firstLineChars="100"/>
        <w:jc w:val="both"/>
        <w:rPr>
          <w:rFonts w:hint="eastAsia" w:ascii="宋体" w:hAnsi="宋体"/>
          <w:b/>
          <w:sz w:val="44"/>
          <w:szCs w:val="44"/>
        </w:rPr>
      </w:pPr>
    </w:p>
    <w:p w14:paraId="3D595153">
      <w:pPr>
        <w:tabs>
          <w:tab w:val="left" w:pos="7515"/>
        </w:tabs>
        <w:spacing w:line="580" w:lineRule="exact"/>
        <w:ind w:firstLine="442" w:firstLineChars="100"/>
        <w:jc w:val="both"/>
        <w:rPr>
          <w:rFonts w:hint="eastAsia" w:ascii="宋体" w:hAnsi="宋体"/>
          <w:b/>
          <w:sz w:val="44"/>
          <w:szCs w:val="44"/>
        </w:rPr>
      </w:pPr>
      <w:r>
        <w:rPr>
          <w:rFonts w:hint="eastAsia" w:ascii="宋体" w:hAnsi="宋体"/>
          <w:b/>
          <w:sz w:val="44"/>
          <w:szCs w:val="44"/>
        </w:rPr>
        <w:t>大冶市农村集体经营性建设用地使用权</w:t>
      </w:r>
    </w:p>
    <w:p w14:paraId="67990B73">
      <w:pPr>
        <w:tabs>
          <w:tab w:val="left" w:pos="7515"/>
        </w:tabs>
        <w:spacing w:line="580" w:lineRule="exact"/>
        <w:jc w:val="center"/>
        <w:rPr>
          <w:rFonts w:hint="eastAsia" w:ascii="宋体" w:hAnsi="宋体"/>
          <w:b/>
          <w:sz w:val="44"/>
          <w:szCs w:val="44"/>
        </w:rPr>
      </w:pPr>
      <w:r>
        <w:rPr>
          <w:rFonts w:hint="eastAsia" w:ascii="宋体" w:hAnsi="宋体"/>
          <w:b/>
          <w:sz w:val="44"/>
          <w:szCs w:val="44"/>
        </w:rPr>
        <w:t>出让须知</w:t>
      </w:r>
    </w:p>
    <w:p w14:paraId="3A6C50E8">
      <w:pPr>
        <w:spacing w:line="520" w:lineRule="exact"/>
        <w:ind w:firstLine="320" w:firstLineChars="100"/>
        <w:rPr>
          <w:rFonts w:hint="eastAsia" w:ascii="仿宋_GB2312" w:hAnsi="仿宋_GB2312" w:eastAsia="仿宋_GB2312" w:cs="仿宋_GB2312"/>
          <w:sz w:val="32"/>
          <w:szCs w:val="32"/>
        </w:rPr>
      </w:pP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经大冶市人民政府批准，大冶市公共资源交易中心根据</w:t>
      </w:r>
      <w:r>
        <w:rPr>
          <w:rFonts w:hint="eastAsia" w:ascii="仿宋" w:hAnsi="仿宋" w:eastAsia="仿宋"/>
          <w:color w:val="FF0000"/>
          <w:sz w:val="32"/>
          <w:szCs w:val="32"/>
        </w:rPr>
        <w:t>大冶市</w:t>
      </w:r>
      <w:r>
        <w:rPr>
          <w:rFonts w:hint="eastAsia" w:ascii="仿宋" w:hAnsi="仿宋" w:eastAsia="仿宋"/>
          <w:color w:val="FF0000"/>
          <w:sz w:val="32"/>
          <w:szCs w:val="32"/>
          <w:lang w:val="en-US" w:eastAsia="zh-CN"/>
        </w:rPr>
        <w:t>还地桥镇马石村村民委员会</w:t>
      </w:r>
      <w:r>
        <w:rPr>
          <w:rFonts w:hint="eastAsia" w:ascii="仿宋_GB2312" w:hAnsi="仿宋_GB2312" w:eastAsia="仿宋_GB2312" w:cs="仿宋_GB2312"/>
          <w:sz w:val="32"/>
          <w:szCs w:val="32"/>
        </w:rPr>
        <w:t>委托决定以挂牌方式出让</w:t>
      </w:r>
      <w:r>
        <w:rPr>
          <w:rFonts w:hint="eastAsia" w:ascii="仿宋_GB2312" w:hAnsi="仿宋_GB2312" w:eastAsia="仿宋_GB2312" w:cs="仿宋_GB2312"/>
          <w:color w:val="FF0000"/>
          <w:sz w:val="32"/>
          <w:szCs w:val="32"/>
          <w:u w:val="none"/>
          <w:lang w:val="en-US" w:eastAsia="zh-CN"/>
        </w:rPr>
        <w:t>2026001</w:t>
      </w:r>
      <w:r>
        <w:rPr>
          <w:rFonts w:hint="eastAsia" w:ascii="仿宋_GB2312" w:hAnsi="仿宋_GB2312" w:eastAsia="仿宋_GB2312" w:cs="仿宋_GB2312"/>
          <w:sz w:val="32"/>
          <w:szCs w:val="32"/>
        </w:rPr>
        <w:t>号地块的</w:t>
      </w:r>
      <w:r>
        <w:rPr>
          <w:rFonts w:hint="eastAsia" w:ascii="仿宋" w:hAnsi="仿宋" w:eastAsia="仿宋" w:cs="仿宋"/>
          <w:sz w:val="32"/>
          <w:szCs w:val="32"/>
          <w:lang w:val="en-US" w:eastAsia="zh-CN"/>
        </w:rPr>
        <w:t>农村集体经营性</w:t>
      </w:r>
      <w:r>
        <w:rPr>
          <w:rFonts w:hint="eastAsia" w:ascii="仿宋_GB2312" w:hAnsi="仿宋_GB2312" w:eastAsia="仿宋_GB2312" w:cs="仿宋_GB2312"/>
          <w:sz w:val="32"/>
          <w:szCs w:val="32"/>
        </w:rPr>
        <w:t>建设用地使用权。</w:t>
      </w:r>
    </w:p>
    <w:p w14:paraId="6FA46823">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w:t>
      </w:r>
      <w:r>
        <w:rPr>
          <w:rFonts w:hint="eastAsia" w:ascii="仿宋" w:hAnsi="仿宋" w:eastAsia="仿宋" w:cs="仿宋"/>
          <w:sz w:val="32"/>
          <w:szCs w:val="32"/>
          <w:lang w:val="en-US" w:eastAsia="zh-CN"/>
        </w:rPr>
        <w:t>农村集体经营性</w:t>
      </w:r>
      <w:r>
        <w:rPr>
          <w:rFonts w:hint="eastAsia" w:ascii="仿宋_GB2312" w:hAnsi="仿宋_GB2312" w:eastAsia="仿宋_GB2312" w:cs="仿宋_GB2312"/>
          <w:sz w:val="32"/>
          <w:szCs w:val="32"/>
        </w:rPr>
        <w:t>建设用地使用权公开出让的出让人为</w:t>
      </w:r>
      <w:r>
        <w:rPr>
          <w:rFonts w:hint="eastAsia" w:ascii="仿宋" w:hAnsi="仿宋" w:eastAsia="仿宋"/>
          <w:color w:val="FF0000"/>
          <w:sz w:val="32"/>
          <w:szCs w:val="32"/>
        </w:rPr>
        <w:t>大冶市</w:t>
      </w:r>
      <w:r>
        <w:rPr>
          <w:rFonts w:hint="eastAsia" w:ascii="仿宋" w:hAnsi="仿宋" w:eastAsia="仿宋"/>
          <w:color w:val="FF0000"/>
          <w:sz w:val="32"/>
          <w:szCs w:val="32"/>
          <w:lang w:val="en-US" w:eastAsia="zh-CN"/>
        </w:rPr>
        <w:t>还地桥镇马石村村民委员会，</w:t>
      </w:r>
      <w:r>
        <w:rPr>
          <w:rFonts w:hint="eastAsia" w:ascii="仿宋_GB2312" w:hAnsi="仿宋_GB2312" w:eastAsia="仿宋_GB2312" w:cs="仿宋_GB2312"/>
          <w:sz w:val="32"/>
          <w:szCs w:val="32"/>
        </w:rPr>
        <w:t>具体组织实施由大冶市公共资源交易中心承办。</w:t>
      </w:r>
    </w:p>
    <w:p w14:paraId="28BB2864">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二、本次农村集体经营性建设用地使用权出让遵循公开、公平、公正和诚实信用原则。</w:t>
      </w:r>
    </w:p>
    <w:p w14:paraId="76A72A5A">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三、出让地块基本情况及规划指标要求等：</w:t>
      </w:r>
    </w:p>
    <w:tbl>
      <w:tblPr>
        <w:tblStyle w:val="6"/>
        <w:tblW w:w="9643" w:type="dxa"/>
        <w:jc w:val="center"/>
        <w:tblLayout w:type="fixed"/>
        <w:tblCellMar>
          <w:top w:w="0" w:type="dxa"/>
          <w:left w:w="0" w:type="dxa"/>
          <w:bottom w:w="0" w:type="dxa"/>
          <w:right w:w="0" w:type="dxa"/>
        </w:tblCellMar>
      </w:tblPr>
      <w:tblGrid>
        <w:gridCol w:w="771"/>
        <w:gridCol w:w="1549"/>
        <w:gridCol w:w="923"/>
        <w:gridCol w:w="863"/>
        <w:gridCol w:w="833"/>
        <w:gridCol w:w="920"/>
        <w:gridCol w:w="753"/>
        <w:gridCol w:w="705"/>
        <w:gridCol w:w="912"/>
        <w:gridCol w:w="730"/>
        <w:gridCol w:w="684"/>
      </w:tblGrid>
      <w:tr w14:paraId="183FC219">
        <w:tblPrEx>
          <w:tblCellMar>
            <w:top w:w="0" w:type="dxa"/>
            <w:left w:w="0" w:type="dxa"/>
            <w:bottom w:w="0" w:type="dxa"/>
            <w:right w:w="0" w:type="dxa"/>
          </w:tblCellMar>
        </w:tblPrEx>
        <w:trPr>
          <w:cantSplit/>
          <w:trHeight w:val="281" w:hRule="atLeast"/>
          <w:jc w:val="center"/>
        </w:trPr>
        <w:tc>
          <w:tcPr>
            <w:tcW w:w="77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7CCF6EF">
            <w:pPr>
              <w:spacing w:line="220" w:lineRule="exact"/>
              <w:jc w:val="center"/>
              <w:rPr>
                <w:rFonts w:hint="eastAsia" w:ascii="仿宋" w:hAnsi="仿宋" w:eastAsia="仿宋" w:cs="仿宋"/>
                <w:color w:val="auto"/>
                <w:spacing w:val="-8"/>
                <w:sz w:val="18"/>
                <w:szCs w:val="18"/>
              </w:rPr>
            </w:pPr>
            <w:r>
              <w:rPr>
                <w:rFonts w:hint="eastAsia" w:ascii="仿宋" w:hAnsi="仿宋" w:eastAsia="仿宋" w:cs="仿宋"/>
                <w:color w:val="auto"/>
                <w:spacing w:val="-8"/>
                <w:sz w:val="18"/>
                <w:szCs w:val="18"/>
              </w:rPr>
              <w:t>地块</w:t>
            </w:r>
          </w:p>
          <w:p w14:paraId="337DA80C">
            <w:pPr>
              <w:spacing w:line="220" w:lineRule="exact"/>
              <w:jc w:val="center"/>
              <w:rPr>
                <w:rFonts w:hint="eastAsia" w:ascii="仿宋" w:hAnsi="仿宋" w:eastAsia="仿宋" w:cs="仿宋"/>
                <w:color w:val="auto"/>
                <w:spacing w:val="-8"/>
                <w:sz w:val="18"/>
                <w:szCs w:val="18"/>
              </w:rPr>
            </w:pPr>
            <w:r>
              <w:rPr>
                <w:rFonts w:hint="eastAsia" w:ascii="仿宋" w:hAnsi="仿宋" w:eastAsia="仿宋" w:cs="仿宋"/>
                <w:color w:val="auto"/>
                <w:spacing w:val="-8"/>
                <w:sz w:val="18"/>
                <w:szCs w:val="18"/>
              </w:rPr>
              <w:t>编号</w:t>
            </w:r>
          </w:p>
        </w:tc>
        <w:tc>
          <w:tcPr>
            <w:tcW w:w="154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66C657B">
            <w:pPr>
              <w:spacing w:line="22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土地坐落</w:t>
            </w:r>
          </w:p>
        </w:tc>
        <w:tc>
          <w:tcPr>
            <w:tcW w:w="923" w:type="dxa"/>
            <w:vMerge w:val="restart"/>
            <w:tcBorders>
              <w:top w:val="single" w:color="auto" w:sz="4" w:space="0"/>
              <w:left w:val="single" w:color="auto" w:sz="4" w:space="0"/>
              <w:bottom w:val="single" w:color="auto" w:sz="4" w:space="0"/>
              <w:right w:val="single" w:color="auto" w:sz="4" w:space="0"/>
            </w:tcBorders>
            <w:vAlign w:val="center"/>
          </w:tcPr>
          <w:p w14:paraId="141623DA">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总面积</w:t>
            </w:r>
          </w:p>
        </w:tc>
        <w:tc>
          <w:tcPr>
            <w:tcW w:w="863" w:type="dxa"/>
            <w:vMerge w:val="restart"/>
            <w:tcBorders>
              <w:top w:val="single" w:color="auto" w:sz="4" w:space="0"/>
              <w:left w:val="single" w:color="auto" w:sz="4" w:space="0"/>
              <w:bottom w:val="single" w:color="auto" w:sz="4" w:space="0"/>
              <w:right w:val="single" w:color="auto" w:sz="4" w:space="0"/>
            </w:tcBorders>
            <w:vAlign w:val="center"/>
          </w:tcPr>
          <w:p w14:paraId="7D35E168">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出让面积(㎡)</w:t>
            </w:r>
          </w:p>
        </w:tc>
        <w:tc>
          <w:tcPr>
            <w:tcW w:w="8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4677DF9">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土地</w:t>
            </w:r>
          </w:p>
          <w:p w14:paraId="412AFDB5">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用途</w:t>
            </w:r>
          </w:p>
        </w:tc>
        <w:tc>
          <w:tcPr>
            <w:tcW w:w="23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BCE6A56">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规划指标要求</w:t>
            </w:r>
          </w:p>
        </w:tc>
        <w:tc>
          <w:tcPr>
            <w:tcW w:w="912"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0B0FB65">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出让</w:t>
            </w:r>
          </w:p>
          <w:p w14:paraId="63EFC4E2">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年限</w:t>
            </w:r>
          </w:p>
        </w:tc>
        <w:tc>
          <w:tcPr>
            <w:tcW w:w="730" w:type="dxa"/>
            <w:vMerge w:val="restart"/>
            <w:tcBorders>
              <w:top w:val="single" w:color="auto" w:sz="4" w:space="0"/>
              <w:left w:val="single" w:color="auto" w:sz="4" w:space="0"/>
              <w:bottom w:val="single" w:color="auto" w:sz="4" w:space="0"/>
              <w:right w:val="single" w:color="auto" w:sz="4" w:space="0"/>
            </w:tcBorders>
            <w:vAlign w:val="center"/>
          </w:tcPr>
          <w:p w14:paraId="5F0CF80C">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竞买</w:t>
            </w:r>
          </w:p>
          <w:p w14:paraId="41B155A0">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保证金</w:t>
            </w:r>
          </w:p>
          <w:p w14:paraId="2C7E87D9">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(万元)</w:t>
            </w:r>
          </w:p>
        </w:tc>
        <w:tc>
          <w:tcPr>
            <w:tcW w:w="6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756D677">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挂牌</w:t>
            </w:r>
          </w:p>
          <w:p w14:paraId="51F24123">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起始价</w:t>
            </w:r>
          </w:p>
          <w:p w14:paraId="3AD742DB">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(万元)</w:t>
            </w:r>
          </w:p>
        </w:tc>
      </w:tr>
      <w:tr w14:paraId="432496CD">
        <w:tblPrEx>
          <w:tblCellMar>
            <w:top w:w="0" w:type="dxa"/>
            <w:left w:w="0" w:type="dxa"/>
            <w:bottom w:w="0" w:type="dxa"/>
            <w:right w:w="0" w:type="dxa"/>
          </w:tblCellMar>
        </w:tblPrEx>
        <w:trPr>
          <w:cantSplit/>
          <w:trHeight w:val="403" w:hRule="atLeast"/>
          <w:jc w:val="center"/>
        </w:trPr>
        <w:tc>
          <w:tcPr>
            <w:tcW w:w="771" w:type="dxa"/>
            <w:vMerge w:val="continue"/>
            <w:tcBorders>
              <w:top w:val="single" w:color="auto" w:sz="4" w:space="0"/>
              <w:left w:val="single" w:color="auto" w:sz="4" w:space="0"/>
              <w:bottom w:val="single" w:color="auto" w:sz="4" w:space="0"/>
              <w:right w:val="single" w:color="auto" w:sz="4" w:space="0"/>
            </w:tcBorders>
            <w:vAlign w:val="center"/>
          </w:tcPr>
          <w:p w14:paraId="11714FB9">
            <w:pPr>
              <w:widowControl/>
              <w:spacing w:line="220" w:lineRule="exact"/>
              <w:jc w:val="center"/>
              <w:rPr>
                <w:rFonts w:hint="eastAsia" w:ascii="仿宋" w:hAnsi="仿宋" w:eastAsia="仿宋" w:cs="仿宋"/>
                <w:color w:val="auto"/>
                <w:sz w:val="18"/>
                <w:szCs w:val="18"/>
              </w:rPr>
            </w:pPr>
          </w:p>
        </w:tc>
        <w:tc>
          <w:tcPr>
            <w:tcW w:w="1549" w:type="dxa"/>
            <w:vMerge w:val="continue"/>
            <w:tcBorders>
              <w:top w:val="single" w:color="auto" w:sz="4" w:space="0"/>
              <w:left w:val="single" w:color="auto" w:sz="4" w:space="0"/>
              <w:bottom w:val="single" w:color="auto" w:sz="4" w:space="0"/>
              <w:right w:val="single" w:color="auto" w:sz="4" w:space="0"/>
            </w:tcBorders>
            <w:vAlign w:val="center"/>
          </w:tcPr>
          <w:p w14:paraId="491B5724">
            <w:pPr>
              <w:widowControl/>
              <w:spacing w:line="220" w:lineRule="exact"/>
              <w:jc w:val="center"/>
              <w:rPr>
                <w:rFonts w:hint="eastAsia" w:ascii="仿宋" w:hAnsi="仿宋" w:eastAsia="仿宋" w:cs="仿宋"/>
                <w:color w:val="auto"/>
                <w:kern w:val="0"/>
                <w:sz w:val="18"/>
                <w:szCs w:val="18"/>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14:paraId="4E8F4FE1">
            <w:pPr>
              <w:widowControl/>
              <w:spacing w:line="220" w:lineRule="exact"/>
              <w:jc w:val="center"/>
              <w:rPr>
                <w:rFonts w:hint="eastAsia" w:ascii="仿宋" w:hAnsi="仿宋" w:eastAsia="仿宋" w:cs="仿宋"/>
                <w:color w:val="auto"/>
                <w:sz w:val="18"/>
                <w:szCs w:val="18"/>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14:paraId="44CA182B">
            <w:pPr>
              <w:widowControl/>
              <w:spacing w:line="220" w:lineRule="exact"/>
              <w:jc w:val="center"/>
              <w:rPr>
                <w:rFonts w:hint="eastAsia" w:ascii="仿宋" w:hAnsi="仿宋" w:eastAsia="仿宋" w:cs="仿宋"/>
                <w:color w:val="auto"/>
                <w:sz w:val="18"/>
                <w:szCs w:val="18"/>
              </w:rPr>
            </w:pPr>
          </w:p>
        </w:tc>
        <w:tc>
          <w:tcPr>
            <w:tcW w:w="833" w:type="dxa"/>
            <w:vMerge w:val="continue"/>
            <w:tcBorders>
              <w:top w:val="single" w:color="auto" w:sz="4" w:space="0"/>
              <w:left w:val="single" w:color="auto" w:sz="4" w:space="0"/>
              <w:bottom w:val="single" w:color="auto" w:sz="4" w:space="0"/>
              <w:right w:val="single" w:color="auto" w:sz="4" w:space="0"/>
            </w:tcBorders>
            <w:vAlign w:val="center"/>
          </w:tcPr>
          <w:p w14:paraId="68678B99">
            <w:pPr>
              <w:widowControl/>
              <w:spacing w:line="220" w:lineRule="exact"/>
              <w:jc w:val="center"/>
              <w:rPr>
                <w:rFonts w:hint="eastAsia" w:ascii="仿宋" w:hAnsi="仿宋" w:eastAsia="仿宋" w:cs="仿宋"/>
                <w:color w:val="auto"/>
                <w:sz w:val="18"/>
                <w:szCs w:val="18"/>
              </w:rPr>
            </w:pPr>
          </w:p>
        </w:tc>
        <w:tc>
          <w:tcPr>
            <w:tcW w:w="9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D7F7F7E">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容积率</w:t>
            </w:r>
          </w:p>
        </w:tc>
        <w:tc>
          <w:tcPr>
            <w:tcW w:w="7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69310EB">
            <w:pPr>
              <w:spacing w:line="220" w:lineRule="exact"/>
              <w:ind w:firstLine="90" w:firstLineChars="50"/>
              <w:jc w:val="center"/>
              <w:rPr>
                <w:rFonts w:hint="eastAsia" w:ascii="仿宋" w:hAnsi="仿宋" w:eastAsia="仿宋" w:cs="仿宋"/>
                <w:color w:val="auto"/>
                <w:sz w:val="18"/>
                <w:szCs w:val="18"/>
              </w:rPr>
            </w:pPr>
            <w:r>
              <w:rPr>
                <w:rFonts w:hint="eastAsia" w:ascii="仿宋" w:hAnsi="仿宋" w:eastAsia="仿宋" w:cs="仿宋"/>
                <w:color w:val="auto"/>
                <w:sz w:val="18"/>
                <w:szCs w:val="18"/>
              </w:rPr>
              <w:t>建筑</w:t>
            </w:r>
          </w:p>
          <w:p w14:paraId="2B928DA3">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密度(%)</w:t>
            </w:r>
          </w:p>
        </w:tc>
        <w:tc>
          <w:tcPr>
            <w:tcW w:w="7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A4A27E1">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绿地率(%)</w:t>
            </w:r>
          </w:p>
        </w:tc>
        <w:tc>
          <w:tcPr>
            <w:tcW w:w="912" w:type="dxa"/>
            <w:vMerge w:val="continue"/>
            <w:tcBorders>
              <w:top w:val="single" w:color="auto" w:sz="4" w:space="0"/>
              <w:left w:val="single" w:color="auto" w:sz="4" w:space="0"/>
              <w:bottom w:val="single" w:color="auto" w:sz="4" w:space="0"/>
              <w:right w:val="single" w:color="auto" w:sz="4" w:space="0"/>
            </w:tcBorders>
            <w:vAlign w:val="center"/>
          </w:tcPr>
          <w:p w14:paraId="5A1437BF">
            <w:pPr>
              <w:widowControl/>
              <w:spacing w:line="220" w:lineRule="exact"/>
              <w:jc w:val="center"/>
              <w:rPr>
                <w:rFonts w:hint="eastAsia" w:ascii="仿宋" w:hAnsi="仿宋" w:eastAsia="仿宋" w:cs="仿宋"/>
                <w:color w:val="auto"/>
                <w:sz w:val="18"/>
                <w:szCs w:val="18"/>
              </w:rPr>
            </w:pPr>
          </w:p>
        </w:tc>
        <w:tc>
          <w:tcPr>
            <w:tcW w:w="730" w:type="dxa"/>
            <w:vMerge w:val="continue"/>
            <w:tcBorders>
              <w:top w:val="single" w:color="auto" w:sz="4" w:space="0"/>
              <w:left w:val="single" w:color="auto" w:sz="4" w:space="0"/>
              <w:bottom w:val="single" w:color="auto" w:sz="4" w:space="0"/>
              <w:right w:val="single" w:color="auto" w:sz="4" w:space="0"/>
            </w:tcBorders>
            <w:vAlign w:val="center"/>
          </w:tcPr>
          <w:p w14:paraId="6588B1DE">
            <w:pPr>
              <w:widowControl/>
              <w:spacing w:line="220" w:lineRule="exact"/>
              <w:jc w:val="center"/>
              <w:rPr>
                <w:rFonts w:hint="eastAsia" w:ascii="仿宋" w:hAnsi="仿宋" w:eastAsia="仿宋" w:cs="仿宋"/>
                <w:color w:val="auto"/>
                <w:sz w:val="18"/>
                <w:szCs w:val="18"/>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14:paraId="3D6A3A23">
            <w:pPr>
              <w:widowControl/>
              <w:spacing w:line="220" w:lineRule="exact"/>
              <w:jc w:val="center"/>
              <w:rPr>
                <w:rFonts w:hint="eastAsia" w:ascii="仿宋" w:hAnsi="仿宋" w:eastAsia="仿宋" w:cs="仿宋"/>
                <w:color w:val="auto"/>
                <w:sz w:val="18"/>
                <w:szCs w:val="18"/>
              </w:rPr>
            </w:pPr>
          </w:p>
        </w:tc>
      </w:tr>
      <w:tr w14:paraId="7B272E0B">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7463E89E">
            <w:pPr>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2026001</w:t>
            </w:r>
          </w:p>
        </w:tc>
        <w:tc>
          <w:tcPr>
            <w:tcW w:w="1549" w:type="dxa"/>
            <w:tcBorders>
              <w:top w:val="single" w:color="auto" w:sz="4" w:space="0"/>
              <w:left w:val="single" w:color="auto" w:sz="4" w:space="0"/>
              <w:bottom w:val="single" w:color="auto" w:sz="4" w:space="0"/>
              <w:right w:val="single" w:color="auto" w:sz="4" w:space="0"/>
            </w:tcBorders>
            <w:vAlign w:val="center"/>
          </w:tcPr>
          <w:p w14:paraId="75237329">
            <w:pPr>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还地桥镇马石村马石街</w:t>
            </w:r>
          </w:p>
        </w:tc>
        <w:tc>
          <w:tcPr>
            <w:tcW w:w="923" w:type="dxa"/>
            <w:tcBorders>
              <w:top w:val="single" w:color="auto" w:sz="4" w:space="0"/>
              <w:left w:val="single" w:color="auto" w:sz="4" w:space="0"/>
              <w:bottom w:val="single" w:color="auto" w:sz="4" w:space="0"/>
              <w:right w:val="single" w:color="auto" w:sz="4" w:space="0"/>
            </w:tcBorders>
            <w:vAlign w:val="center"/>
          </w:tcPr>
          <w:p w14:paraId="40403148">
            <w:pPr>
              <w:spacing w:line="240" w:lineRule="exact"/>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3575.39</w:t>
            </w:r>
          </w:p>
        </w:tc>
        <w:tc>
          <w:tcPr>
            <w:tcW w:w="863" w:type="dxa"/>
            <w:tcBorders>
              <w:top w:val="single" w:color="auto" w:sz="4" w:space="0"/>
              <w:left w:val="single" w:color="auto" w:sz="4" w:space="0"/>
              <w:bottom w:val="single" w:color="auto" w:sz="4" w:space="0"/>
              <w:right w:val="single" w:color="auto" w:sz="4" w:space="0"/>
            </w:tcBorders>
            <w:vAlign w:val="center"/>
          </w:tcPr>
          <w:p w14:paraId="5B58D746">
            <w:pPr>
              <w:spacing w:line="240" w:lineRule="exact"/>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3575.39</w:t>
            </w:r>
          </w:p>
        </w:tc>
        <w:tc>
          <w:tcPr>
            <w:tcW w:w="833" w:type="dxa"/>
            <w:tcBorders>
              <w:top w:val="single" w:color="auto" w:sz="4" w:space="0"/>
              <w:left w:val="single" w:color="auto" w:sz="4" w:space="0"/>
              <w:bottom w:val="single" w:color="auto" w:sz="4" w:space="0"/>
              <w:right w:val="single" w:color="auto" w:sz="4" w:space="0"/>
            </w:tcBorders>
            <w:vAlign w:val="center"/>
          </w:tcPr>
          <w:p w14:paraId="717FF90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工业用地</w:t>
            </w:r>
          </w:p>
        </w:tc>
        <w:tc>
          <w:tcPr>
            <w:tcW w:w="9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9261850">
            <w:pPr>
              <w:spacing w:line="240" w:lineRule="exact"/>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≥1.0</w:t>
            </w:r>
          </w:p>
        </w:tc>
        <w:tc>
          <w:tcPr>
            <w:tcW w:w="7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E14B0F2">
            <w:pPr>
              <w:spacing w:line="240" w:lineRule="exact"/>
              <w:jc w:val="center"/>
              <w:rPr>
                <w:rFonts w:hint="default" w:ascii="仿宋" w:hAnsi="仿宋" w:eastAsia="仿宋" w:cs="仿宋"/>
                <w:color w:val="auto"/>
                <w:sz w:val="18"/>
                <w:szCs w:val="18"/>
                <w:lang w:val="en-US"/>
              </w:rPr>
            </w:pPr>
            <w:r>
              <w:rPr>
                <w:rFonts w:hint="eastAsia" w:ascii="仿宋" w:hAnsi="仿宋" w:eastAsia="仿宋" w:cs="仿宋"/>
                <w:color w:val="auto"/>
                <w:sz w:val="18"/>
                <w:szCs w:val="18"/>
                <w:lang w:val="en-US" w:eastAsia="zh-CN"/>
              </w:rPr>
              <w:t>≥40</w:t>
            </w:r>
          </w:p>
        </w:tc>
        <w:tc>
          <w:tcPr>
            <w:tcW w:w="7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32AFB7C">
            <w:pPr>
              <w:spacing w:line="240" w:lineRule="exact"/>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≤15</w:t>
            </w:r>
          </w:p>
        </w:tc>
        <w:tc>
          <w:tcPr>
            <w:tcW w:w="912" w:type="dxa"/>
            <w:tcBorders>
              <w:top w:val="single" w:color="auto" w:sz="4" w:space="0"/>
              <w:left w:val="single" w:color="auto" w:sz="4" w:space="0"/>
              <w:bottom w:val="single" w:color="auto" w:sz="4" w:space="0"/>
              <w:right w:val="single" w:color="auto" w:sz="4" w:space="0"/>
            </w:tcBorders>
            <w:vAlign w:val="center"/>
          </w:tcPr>
          <w:p w14:paraId="0A8A1BD0">
            <w:pPr>
              <w:spacing w:line="220" w:lineRule="exact"/>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50</w:t>
            </w:r>
          </w:p>
        </w:tc>
        <w:tc>
          <w:tcPr>
            <w:tcW w:w="730" w:type="dxa"/>
            <w:tcBorders>
              <w:top w:val="single" w:color="auto" w:sz="4" w:space="0"/>
              <w:left w:val="single" w:color="auto" w:sz="4" w:space="0"/>
              <w:bottom w:val="single" w:color="auto" w:sz="4" w:space="0"/>
              <w:right w:val="single" w:color="auto" w:sz="4" w:space="0"/>
            </w:tcBorders>
            <w:vAlign w:val="center"/>
          </w:tcPr>
          <w:p w14:paraId="3041AA06">
            <w:pPr>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7</w:t>
            </w:r>
          </w:p>
        </w:tc>
        <w:tc>
          <w:tcPr>
            <w:tcW w:w="684" w:type="dxa"/>
            <w:tcBorders>
              <w:top w:val="single" w:color="auto" w:sz="4" w:space="0"/>
              <w:left w:val="single" w:color="auto" w:sz="4" w:space="0"/>
              <w:bottom w:val="single" w:color="auto" w:sz="4" w:space="0"/>
              <w:right w:val="single" w:color="auto" w:sz="4" w:space="0"/>
            </w:tcBorders>
            <w:vAlign w:val="center"/>
          </w:tcPr>
          <w:p w14:paraId="651498BF">
            <w:pPr>
              <w:spacing w:line="240" w:lineRule="exact"/>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69.81</w:t>
            </w:r>
          </w:p>
        </w:tc>
      </w:tr>
    </w:tbl>
    <w:p w14:paraId="700D0F49">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b w:val="0"/>
          <w:bCs w:val="0"/>
          <w:szCs w:val="32"/>
        </w:rPr>
      </w:pPr>
    </w:p>
    <w:tbl>
      <w:tblPr>
        <w:tblStyle w:val="7"/>
        <w:tblpPr w:leftFromText="180" w:rightFromText="180" w:vertAnchor="text" w:tblpX="10370" w:tblpY="-32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tblGrid>
      <w:tr w14:paraId="7856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106" w:type="dxa"/>
            <w:noWrap w:val="0"/>
            <w:vAlign w:val="top"/>
          </w:tcPr>
          <w:p w14:paraId="1024CC17">
            <w:pPr>
              <w:spacing w:line="600" w:lineRule="exact"/>
              <w:rPr>
                <w:rFonts w:hint="eastAsia" w:ascii="仿宋_GB2312" w:hAnsi="仿宋" w:eastAsia="仿宋_GB2312"/>
                <w:sz w:val="32"/>
                <w:szCs w:val="32"/>
                <w:vertAlign w:val="baseline"/>
              </w:rPr>
            </w:pPr>
          </w:p>
        </w:tc>
      </w:tr>
    </w:tbl>
    <w:p w14:paraId="2F291F82">
      <w:pPr>
        <w:spacing w:line="540" w:lineRule="exact"/>
        <w:ind w:firstLine="640" w:firstLineChars="200"/>
        <w:rPr>
          <w:rFonts w:hint="eastAsia" w:ascii="仿宋" w:hAnsi="仿宋" w:eastAsia="仿宋"/>
          <w:color w:val="auto"/>
          <w:sz w:val="32"/>
        </w:rPr>
      </w:pPr>
      <w:r>
        <w:rPr>
          <w:rFonts w:hint="eastAsia" w:ascii="仿宋_GB2312" w:hAnsi="仿宋_GB2312" w:eastAsia="仿宋_GB2312" w:cs="仿宋_GB2312"/>
          <w:sz w:val="32"/>
          <w:szCs w:val="32"/>
        </w:rPr>
        <w:t>四、</w:t>
      </w:r>
      <w:r>
        <w:rPr>
          <w:rFonts w:hint="eastAsia" w:ascii="仿宋" w:hAnsi="仿宋" w:eastAsia="仿宋"/>
          <w:color w:val="auto"/>
          <w:sz w:val="32"/>
        </w:rPr>
        <w:t>特别约定</w:t>
      </w:r>
    </w:p>
    <w:p w14:paraId="48590CD8">
      <w:pPr>
        <w:spacing w:line="540" w:lineRule="exact"/>
        <w:ind w:firstLine="640" w:firstLineChars="200"/>
        <w:rPr>
          <w:rFonts w:ascii="仿宋" w:hAnsi="仿宋" w:eastAsia="仿宋"/>
          <w:color w:val="auto"/>
          <w:sz w:val="32"/>
          <w:szCs w:val="32"/>
        </w:rPr>
      </w:pPr>
      <w:r>
        <w:rPr>
          <w:rFonts w:hint="eastAsia" w:ascii="仿宋" w:hAnsi="仿宋" w:eastAsia="仿宋"/>
          <w:color w:val="auto"/>
          <w:sz w:val="32"/>
          <w:lang w:eastAsia="zh-CN"/>
        </w:rPr>
        <w:t>（</w:t>
      </w:r>
      <w:r>
        <w:rPr>
          <w:rFonts w:hint="eastAsia" w:ascii="仿宋" w:hAnsi="仿宋" w:eastAsia="仿宋"/>
          <w:color w:val="auto"/>
          <w:sz w:val="32"/>
          <w:lang w:val="en-US" w:eastAsia="zh-CN"/>
        </w:rPr>
        <w:t>一</w:t>
      </w:r>
      <w:r>
        <w:rPr>
          <w:rFonts w:hint="eastAsia" w:ascii="仿宋" w:hAnsi="仿宋" w:eastAsia="仿宋"/>
          <w:color w:val="auto"/>
          <w:sz w:val="32"/>
          <w:lang w:eastAsia="zh-CN"/>
        </w:rPr>
        <w:t>）</w:t>
      </w:r>
      <w:r>
        <w:rPr>
          <w:rFonts w:hint="eastAsia" w:ascii="仿宋" w:hAnsi="仿宋" w:eastAsia="仿宋"/>
          <w:color w:val="auto"/>
          <w:sz w:val="32"/>
          <w:szCs w:val="32"/>
        </w:rPr>
        <w:t>土地开发程度：</w:t>
      </w:r>
      <w:r>
        <w:rPr>
          <w:rFonts w:hint="eastAsia" w:ascii="仿宋" w:hAnsi="仿宋" w:eastAsia="仿宋"/>
          <w:color w:val="auto"/>
          <w:sz w:val="32"/>
          <w:szCs w:val="32"/>
          <w:lang w:val="en-US" w:eastAsia="zh-CN"/>
        </w:rPr>
        <w:t>上述</w:t>
      </w:r>
      <w:r>
        <w:rPr>
          <w:rFonts w:hint="eastAsia" w:ascii="仿宋" w:hAnsi="仿宋" w:eastAsia="仿宋"/>
          <w:color w:val="auto"/>
          <w:sz w:val="32"/>
          <w:szCs w:val="32"/>
        </w:rPr>
        <w:t>宗地外</w:t>
      </w:r>
      <w:r>
        <w:rPr>
          <w:rFonts w:hint="eastAsia" w:ascii="仿宋" w:hAnsi="仿宋" w:eastAsia="仿宋"/>
          <w:color w:val="auto"/>
          <w:sz w:val="32"/>
          <w:szCs w:val="32"/>
          <w:lang w:val="en-US" w:eastAsia="zh-CN"/>
        </w:rPr>
        <w:t>三</w:t>
      </w:r>
      <w:r>
        <w:rPr>
          <w:rFonts w:hint="eastAsia" w:ascii="仿宋" w:hAnsi="仿宋" w:eastAsia="仿宋"/>
          <w:color w:val="auto"/>
          <w:sz w:val="32"/>
          <w:szCs w:val="32"/>
        </w:rPr>
        <w:t>通，即通路、通电、</w:t>
      </w:r>
      <w:r>
        <w:rPr>
          <w:rFonts w:hint="eastAsia" w:ascii="仿宋" w:hAnsi="仿宋" w:eastAsia="仿宋"/>
          <w:color w:val="auto"/>
          <w:sz w:val="32"/>
          <w:szCs w:val="32"/>
          <w:lang w:val="en-US" w:eastAsia="zh-CN"/>
        </w:rPr>
        <w:t>通水</w:t>
      </w:r>
      <w:r>
        <w:rPr>
          <w:rFonts w:hint="eastAsia" w:ascii="仿宋" w:hAnsi="仿宋" w:eastAsia="仿宋"/>
          <w:color w:val="auto"/>
          <w:sz w:val="32"/>
          <w:szCs w:val="32"/>
          <w:lang w:eastAsia="zh-CN"/>
        </w:rPr>
        <w:t>，</w:t>
      </w:r>
      <w:r>
        <w:rPr>
          <w:rFonts w:hint="eastAsia" w:ascii="仿宋" w:hAnsi="仿宋" w:eastAsia="仿宋"/>
          <w:color w:val="auto"/>
          <w:sz w:val="32"/>
          <w:szCs w:val="32"/>
        </w:rPr>
        <w:t>宗地内场地现状交付</w:t>
      </w:r>
      <w:r>
        <w:rPr>
          <w:rFonts w:hint="eastAsia" w:ascii="仿宋" w:hAnsi="仿宋" w:eastAsia="仿宋"/>
          <w:color w:val="auto"/>
          <w:sz w:val="32"/>
          <w:szCs w:val="32"/>
          <w:lang w:eastAsia="zh-CN"/>
        </w:rPr>
        <w:t>。</w:t>
      </w:r>
    </w:p>
    <w:p w14:paraId="5858F9EF">
      <w:pPr>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rPr>
        <w:t>（</w:t>
      </w:r>
      <w:r>
        <w:rPr>
          <w:rFonts w:hint="eastAsia" w:ascii="仿宋" w:hAnsi="仿宋" w:eastAsia="仿宋"/>
          <w:color w:val="auto"/>
          <w:sz w:val="32"/>
          <w:szCs w:val="32"/>
          <w:lang w:val="en-US" w:eastAsia="zh-CN"/>
        </w:rPr>
        <w:t>二</w:t>
      </w:r>
      <w:r>
        <w:rPr>
          <w:rFonts w:hint="eastAsia" w:ascii="仿宋" w:hAnsi="仿宋" w:eastAsia="仿宋"/>
          <w:color w:val="auto"/>
          <w:sz w:val="32"/>
          <w:szCs w:val="32"/>
        </w:rPr>
        <w:t>）上述宗地挂牌出让成交后，竞得人应在成交之日起</w:t>
      </w:r>
      <w:r>
        <w:rPr>
          <w:rFonts w:ascii="仿宋" w:hAnsi="仿宋" w:eastAsia="仿宋"/>
          <w:color w:val="auto"/>
          <w:sz w:val="32"/>
          <w:szCs w:val="32"/>
        </w:rPr>
        <w:t>30</w:t>
      </w:r>
      <w:r>
        <w:rPr>
          <w:rFonts w:hint="eastAsia" w:ascii="仿宋" w:hAnsi="仿宋" w:eastAsia="仿宋"/>
          <w:color w:val="auto"/>
          <w:sz w:val="32"/>
          <w:szCs w:val="32"/>
        </w:rPr>
        <w:t>日内</w:t>
      </w:r>
      <w:r>
        <w:rPr>
          <w:rFonts w:hint="eastAsia" w:ascii="仿宋" w:hAnsi="仿宋" w:eastAsia="仿宋"/>
          <w:color w:val="auto"/>
          <w:sz w:val="32"/>
          <w:szCs w:val="32"/>
          <w:lang w:val="en-US" w:eastAsia="zh-CN"/>
        </w:rPr>
        <w:t>与出让人签订《集体经营性</w:t>
      </w:r>
      <w:r>
        <w:rPr>
          <w:rFonts w:hint="eastAsia" w:ascii="仿宋" w:hAnsi="仿宋" w:eastAsia="仿宋"/>
          <w:color w:val="auto"/>
          <w:sz w:val="32"/>
          <w:szCs w:val="32"/>
        </w:rPr>
        <w:t>建设用地使用权出让合同</w:t>
      </w:r>
      <w:r>
        <w:rPr>
          <w:rFonts w:hint="eastAsia" w:ascii="仿宋" w:hAnsi="仿宋" w:eastAsia="仿宋"/>
          <w:color w:val="auto"/>
          <w:sz w:val="32"/>
          <w:szCs w:val="32"/>
          <w:lang w:val="en-US" w:eastAsia="zh-CN"/>
        </w:rPr>
        <w:t>》，按土地出让合同约定</w:t>
      </w:r>
      <w:r>
        <w:rPr>
          <w:rFonts w:hint="eastAsia" w:ascii="仿宋" w:hAnsi="仿宋" w:eastAsia="仿宋"/>
          <w:color w:val="auto"/>
          <w:sz w:val="32"/>
          <w:szCs w:val="32"/>
        </w:rPr>
        <w:t>缴纳土地成交价款，并在签订出让合同后</w:t>
      </w:r>
      <w:r>
        <w:rPr>
          <w:rFonts w:ascii="仿宋" w:hAnsi="仿宋" w:eastAsia="仿宋"/>
          <w:color w:val="auto"/>
          <w:sz w:val="32"/>
          <w:szCs w:val="32"/>
        </w:rPr>
        <w:t>10</w:t>
      </w:r>
      <w:r>
        <w:rPr>
          <w:rFonts w:hint="eastAsia" w:ascii="仿宋" w:hAnsi="仿宋" w:eastAsia="仿宋"/>
          <w:color w:val="auto"/>
          <w:sz w:val="32"/>
          <w:szCs w:val="32"/>
        </w:rPr>
        <w:t>个工作日内建立“建设项目信息公示牌”，</w:t>
      </w:r>
      <w:r>
        <w:rPr>
          <w:rFonts w:hint="eastAsia" w:ascii="仿宋" w:hAnsi="仿宋" w:eastAsia="仿宋"/>
          <w:color w:val="auto"/>
          <w:sz w:val="32"/>
          <w:szCs w:val="32"/>
          <w:lang w:val="en-US" w:eastAsia="zh-CN"/>
        </w:rPr>
        <w:t>同时与出让人、监管人签订《集体经营性</w:t>
      </w:r>
      <w:r>
        <w:rPr>
          <w:rFonts w:hint="eastAsia" w:ascii="仿宋" w:hAnsi="仿宋" w:eastAsia="仿宋"/>
          <w:color w:val="auto"/>
          <w:sz w:val="32"/>
          <w:szCs w:val="32"/>
        </w:rPr>
        <w:t>建设用地使用权出让</w:t>
      </w:r>
      <w:r>
        <w:rPr>
          <w:rFonts w:hint="eastAsia" w:ascii="仿宋" w:hAnsi="仿宋" w:eastAsia="仿宋"/>
          <w:color w:val="auto"/>
          <w:sz w:val="32"/>
          <w:szCs w:val="32"/>
          <w:lang w:val="en-US" w:eastAsia="zh-CN"/>
        </w:rPr>
        <w:t>监管协议》</w:t>
      </w:r>
      <w:r>
        <w:rPr>
          <w:rFonts w:hint="eastAsia" w:ascii="仿宋" w:hAnsi="仿宋" w:eastAsia="仿宋"/>
          <w:color w:val="auto"/>
          <w:sz w:val="32"/>
          <w:szCs w:val="32"/>
        </w:rPr>
        <w:t>。</w:t>
      </w:r>
    </w:p>
    <w:p w14:paraId="4E36EE7E">
      <w:pPr>
        <w:pStyle w:val="2"/>
        <w:ind w:firstLine="640"/>
        <w:rPr>
          <w:rFonts w:hint="eastAsia" w:ascii="仿宋" w:hAnsi="仿宋" w:eastAsia="仿宋"/>
          <w:b w:val="0"/>
          <w:bCs w:val="0"/>
          <w:color w:val="auto"/>
          <w:kern w:val="2"/>
          <w:sz w:val="32"/>
          <w:szCs w:val="32"/>
        </w:rPr>
      </w:pPr>
      <w:r>
        <w:rPr>
          <w:rFonts w:hint="eastAsia" w:ascii="仿宋" w:hAnsi="仿宋" w:eastAsia="仿宋"/>
          <w:b w:val="0"/>
          <w:bCs w:val="0"/>
          <w:color w:val="auto"/>
          <w:kern w:val="2"/>
          <w:sz w:val="32"/>
          <w:szCs w:val="32"/>
        </w:rPr>
        <w:t>（</w:t>
      </w:r>
      <w:r>
        <w:rPr>
          <w:rFonts w:hint="eastAsia" w:ascii="仿宋" w:hAnsi="仿宋" w:eastAsia="仿宋"/>
          <w:b w:val="0"/>
          <w:bCs w:val="0"/>
          <w:color w:val="auto"/>
          <w:kern w:val="2"/>
          <w:sz w:val="32"/>
          <w:szCs w:val="32"/>
          <w:lang w:val="en-US" w:eastAsia="zh-CN"/>
        </w:rPr>
        <w:t>三</w:t>
      </w:r>
      <w:r>
        <w:rPr>
          <w:rFonts w:hint="eastAsia" w:ascii="仿宋" w:hAnsi="仿宋" w:eastAsia="仿宋"/>
          <w:b w:val="0"/>
          <w:bCs w:val="0"/>
          <w:color w:val="auto"/>
          <w:kern w:val="2"/>
          <w:sz w:val="32"/>
          <w:szCs w:val="32"/>
        </w:rPr>
        <w:t>）上述宗地以现状挂牌出让，实际勘测交付面积与挂牌出让文件标明的出让面积差异率在</w:t>
      </w:r>
      <w:r>
        <w:rPr>
          <w:rFonts w:ascii="仿宋" w:hAnsi="仿宋" w:eastAsia="仿宋"/>
          <w:b w:val="0"/>
          <w:bCs w:val="0"/>
          <w:color w:val="auto"/>
          <w:kern w:val="2"/>
          <w:sz w:val="32"/>
          <w:szCs w:val="32"/>
        </w:rPr>
        <w:t>1%</w:t>
      </w:r>
      <w:r>
        <w:rPr>
          <w:rFonts w:hint="eastAsia" w:ascii="仿宋" w:hAnsi="仿宋" w:eastAsia="仿宋"/>
          <w:b w:val="0"/>
          <w:bCs w:val="0"/>
          <w:color w:val="auto"/>
          <w:kern w:val="2"/>
          <w:sz w:val="32"/>
          <w:szCs w:val="32"/>
        </w:rPr>
        <w:t>以内的，面积差异不影响成交价格。</w:t>
      </w:r>
    </w:p>
    <w:p w14:paraId="036A8C8D">
      <w:pPr>
        <w:pStyle w:val="2"/>
        <w:ind w:firstLine="640"/>
        <w:rPr>
          <w:rFonts w:ascii="仿宋" w:hAnsi="仿宋" w:eastAsia="仿宋"/>
          <w:b w:val="0"/>
          <w:bCs w:val="0"/>
          <w:color w:val="auto"/>
          <w:kern w:val="2"/>
          <w:sz w:val="32"/>
          <w:szCs w:val="32"/>
        </w:rPr>
      </w:pPr>
      <w:r>
        <w:rPr>
          <w:rFonts w:hint="eastAsia" w:ascii="仿宋" w:hAnsi="仿宋" w:eastAsia="仿宋"/>
          <w:b w:val="0"/>
          <w:bCs w:val="0"/>
          <w:color w:val="auto"/>
          <w:kern w:val="2"/>
          <w:sz w:val="32"/>
          <w:szCs w:val="32"/>
        </w:rPr>
        <w:t>（</w:t>
      </w:r>
      <w:r>
        <w:rPr>
          <w:rFonts w:hint="eastAsia" w:ascii="仿宋" w:hAnsi="仿宋" w:eastAsia="仿宋"/>
          <w:b w:val="0"/>
          <w:bCs w:val="0"/>
          <w:color w:val="auto"/>
          <w:kern w:val="2"/>
          <w:sz w:val="32"/>
          <w:szCs w:val="32"/>
          <w:lang w:val="en-US" w:eastAsia="zh-CN"/>
        </w:rPr>
        <w:t>四</w:t>
      </w:r>
      <w:r>
        <w:rPr>
          <w:rFonts w:hint="eastAsia" w:ascii="仿宋" w:hAnsi="仿宋" w:eastAsia="仿宋"/>
          <w:b w:val="0"/>
          <w:bCs w:val="0"/>
          <w:color w:val="auto"/>
          <w:kern w:val="2"/>
          <w:sz w:val="32"/>
          <w:szCs w:val="32"/>
        </w:rPr>
        <w:t>）上述地块竞得人在宗地内依规划建设，连建地下建（构）筑物，使用地下建设用地使用权的，按照下列规定办理土地供应手续：</w:t>
      </w:r>
    </w:p>
    <w:p w14:paraId="2223A67E">
      <w:pPr>
        <w:pStyle w:val="2"/>
        <w:ind w:firstLine="640"/>
        <w:rPr>
          <w:rFonts w:ascii="仿宋" w:hAnsi="仿宋" w:eastAsia="仿宋"/>
          <w:b w:val="0"/>
          <w:bCs w:val="0"/>
          <w:color w:val="auto"/>
          <w:kern w:val="2"/>
          <w:sz w:val="32"/>
          <w:szCs w:val="32"/>
        </w:rPr>
      </w:pPr>
      <w:r>
        <w:rPr>
          <w:rFonts w:ascii="仿宋" w:hAnsi="仿宋" w:eastAsia="仿宋"/>
          <w:b w:val="0"/>
          <w:bCs w:val="0"/>
          <w:color w:val="auto"/>
          <w:kern w:val="2"/>
          <w:sz w:val="32"/>
          <w:szCs w:val="32"/>
        </w:rPr>
        <w:t xml:space="preserve"> 1.</w:t>
      </w:r>
      <w:r>
        <w:rPr>
          <w:rFonts w:hint="eastAsia" w:ascii="仿宋" w:hAnsi="仿宋" w:eastAsia="仿宋"/>
          <w:b w:val="0"/>
          <w:bCs w:val="0"/>
          <w:color w:val="auto"/>
          <w:kern w:val="2"/>
          <w:sz w:val="32"/>
          <w:szCs w:val="32"/>
        </w:rPr>
        <w:t>符合划拨用地目录的，可以划拨方式办理土地供应手续；</w:t>
      </w:r>
    </w:p>
    <w:p w14:paraId="30AF7612">
      <w:pPr>
        <w:pStyle w:val="2"/>
        <w:ind w:firstLine="640"/>
        <w:rPr>
          <w:rFonts w:ascii="仿宋" w:hAnsi="仿宋" w:eastAsia="仿宋"/>
          <w:b w:val="0"/>
          <w:bCs w:val="0"/>
          <w:color w:val="auto"/>
          <w:kern w:val="2"/>
          <w:sz w:val="32"/>
          <w:szCs w:val="32"/>
        </w:rPr>
      </w:pPr>
      <w:r>
        <w:rPr>
          <w:rFonts w:ascii="仿宋" w:hAnsi="仿宋" w:eastAsia="仿宋"/>
          <w:b w:val="0"/>
          <w:bCs w:val="0"/>
          <w:color w:val="auto"/>
          <w:kern w:val="2"/>
          <w:sz w:val="32"/>
          <w:szCs w:val="32"/>
        </w:rPr>
        <w:t xml:space="preserve"> 2.</w:t>
      </w:r>
      <w:r>
        <w:rPr>
          <w:rFonts w:hint="eastAsia" w:ascii="仿宋" w:hAnsi="仿宋" w:eastAsia="仿宋"/>
          <w:b w:val="0"/>
          <w:bCs w:val="0"/>
          <w:color w:val="auto"/>
          <w:kern w:val="2"/>
          <w:sz w:val="32"/>
          <w:szCs w:val="32"/>
        </w:rPr>
        <w:t>不符合划拨用地目录的，经依法批准以协议方式办理出让手续，按照不低于出让时相同主导功能用途、土地级别、使用年限的地上建设用地市场价标准的</w:t>
      </w:r>
      <w:r>
        <w:rPr>
          <w:rFonts w:ascii="仿宋" w:hAnsi="仿宋" w:eastAsia="仿宋"/>
          <w:b w:val="0"/>
          <w:bCs w:val="0"/>
          <w:color w:val="auto"/>
          <w:kern w:val="2"/>
          <w:sz w:val="32"/>
          <w:szCs w:val="32"/>
        </w:rPr>
        <w:t>30%</w:t>
      </w:r>
      <w:r>
        <w:rPr>
          <w:rFonts w:hint="eastAsia" w:ascii="仿宋" w:hAnsi="仿宋" w:eastAsia="仿宋"/>
          <w:b w:val="0"/>
          <w:bCs w:val="0"/>
          <w:color w:val="auto"/>
          <w:kern w:val="2"/>
          <w:sz w:val="32"/>
          <w:szCs w:val="32"/>
        </w:rPr>
        <w:t>缴纳土地出让价款。</w:t>
      </w:r>
    </w:p>
    <w:p w14:paraId="42DAB4AF">
      <w:pPr>
        <w:pStyle w:val="2"/>
        <w:ind w:left="0" w:leftChars="0" w:firstLine="0" w:firstLineChars="0"/>
        <w:rPr>
          <w:rFonts w:ascii="仿宋" w:hAnsi="仿宋" w:eastAsia="仿宋"/>
          <w:b w:val="0"/>
          <w:bCs w:val="0"/>
          <w:color w:val="auto"/>
          <w:kern w:val="2"/>
          <w:sz w:val="32"/>
          <w:szCs w:val="32"/>
        </w:rPr>
      </w:pPr>
      <w:r>
        <w:rPr>
          <w:rFonts w:hint="eastAsia" w:ascii="仿宋_GB2312" w:hAnsi="仿宋_GB2312" w:cs="仿宋_GB2312"/>
          <w:b w:val="0"/>
          <w:bCs w:val="0"/>
          <w:sz w:val="32"/>
          <w:szCs w:val="32"/>
          <w:lang w:val="en-US" w:eastAsia="zh-CN"/>
        </w:rPr>
        <w:t>五</w:t>
      </w:r>
      <w:r>
        <w:rPr>
          <w:rFonts w:hint="eastAsia" w:ascii="仿宋_GB2312" w:hAnsi="仿宋_GB2312" w:eastAsia="仿宋_GB2312" w:cs="仿宋_GB2312"/>
          <w:sz w:val="32"/>
          <w:szCs w:val="32"/>
        </w:rPr>
        <w:t>、</w:t>
      </w:r>
      <w:r>
        <w:rPr>
          <w:rFonts w:hint="eastAsia" w:ascii="仿宋" w:hAnsi="仿宋" w:eastAsia="仿宋"/>
          <w:b w:val="0"/>
          <w:bCs w:val="0"/>
          <w:color w:val="auto"/>
          <w:kern w:val="2"/>
          <w:sz w:val="32"/>
          <w:szCs w:val="32"/>
        </w:rPr>
        <w:t>竞买资格及要求</w:t>
      </w:r>
    </w:p>
    <w:p w14:paraId="2C40C85F">
      <w:pPr>
        <w:pStyle w:val="2"/>
        <w:ind w:firstLine="640"/>
        <w:rPr>
          <w:rFonts w:ascii="仿宋" w:hAnsi="仿宋" w:eastAsia="仿宋"/>
          <w:b w:val="0"/>
          <w:bCs w:val="0"/>
          <w:color w:val="auto"/>
          <w:kern w:val="2"/>
          <w:sz w:val="32"/>
          <w:szCs w:val="32"/>
        </w:rPr>
      </w:pPr>
      <w:r>
        <w:rPr>
          <w:rFonts w:hint="eastAsia" w:ascii="仿宋" w:hAnsi="仿宋" w:eastAsia="仿宋"/>
          <w:b w:val="0"/>
          <w:bCs w:val="0"/>
          <w:color w:val="auto"/>
          <w:kern w:val="2"/>
          <w:sz w:val="32"/>
          <w:szCs w:val="32"/>
        </w:rPr>
        <w:t>（一）中华人民共和国境内外的法人、</w:t>
      </w:r>
      <w:r>
        <w:rPr>
          <w:rFonts w:hint="eastAsia" w:ascii="仿宋" w:hAnsi="仿宋" w:eastAsia="仿宋"/>
          <w:b w:val="0"/>
          <w:bCs w:val="0"/>
          <w:color w:val="FF0000"/>
          <w:kern w:val="2"/>
          <w:sz w:val="32"/>
          <w:szCs w:val="32"/>
        </w:rPr>
        <w:t>自然人</w:t>
      </w:r>
      <w:r>
        <w:rPr>
          <w:rFonts w:hint="eastAsia" w:ascii="仿宋" w:hAnsi="仿宋" w:eastAsia="仿宋"/>
          <w:b w:val="0"/>
          <w:bCs w:val="0"/>
          <w:color w:val="auto"/>
          <w:kern w:val="2"/>
          <w:sz w:val="32"/>
          <w:szCs w:val="32"/>
        </w:rPr>
        <w:t>和其他组织均可申请参加，申请人可以单独申请，也可以联合申请。</w:t>
      </w:r>
    </w:p>
    <w:p w14:paraId="632B2082">
      <w:pPr>
        <w:pStyle w:val="2"/>
        <w:ind w:firstLine="640"/>
        <w:rPr>
          <w:rFonts w:hint="eastAsia" w:ascii="仿宋" w:hAnsi="仿宋" w:eastAsia="仿宋"/>
          <w:b w:val="0"/>
          <w:bCs w:val="0"/>
          <w:color w:val="auto"/>
          <w:kern w:val="2"/>
          <w:sz w:val="32"/>
          <w:szCs w:val="32"/>
        </w:rPr>
      </w:pPr>
      <w:r>
        <w:rPr>
          <w:rFonts w:hint="eastAsia" w:ascii="仿宋" w:hAnsi="仿宋" w:eastAsia="仿宋"/>
          <w:b w:val="0"/>
          <w:bCs w:val="0"/>
          <w:color w:val="auto"/>
          <w:kern w:val="2"/>
          <w:sz w:val="32"/>
          <w:szCs w:val="32"/>
        </w:rPr>
        <w:t>（二）凡存在</w:t>
      </w:r>
      <w:r>
        <w:rPr>
          <w:rFonts w:hint="eastAsia" w:ascii="仿宋" w:hAnsi="仿宋" w:eastAsia="仿宋"/>
          <w:b w:val="0"/>
          <w:bCs w:val="0"/>
          <w:color w:val="auto"/>
          <w:kern w:val="2"/>
          <w:sz w:val="32"/>
          <w:szCs w:val="32"/>
          <w:lang w:val="en-US" w:eastAsia="zh-CN"/>
        </w:rPr>
        <w:t>欠缴土地出让金经催缴仍未缴纳、</w:t>
      </w:r>
      <w:r>
        <w:rPr>
          <w:rFonts w:hint="eastAsia" w:ascii="仿宋" w:hAnsi="仿宋" w:eastAsia="仿宋"/>
          <w:b w:val="0"/>
          <w:bCs w:val="0"/>
          <w:color w:val="auto"/>
          <w:kern w:val="2"/>
          <w:sz w:val="32"/>
          <w:szCs w:val="32"/>
        </w:rPr>
        <w:t>伪造公文骗取用地手续和非法倒卖土地、非法转让土地使用权、因企业原因造成土地闲置一年以上、违背出让合同约定条件开发利用土地、擅自改变保障性安居工程用地用途搞商品房开发等情形之一的企业或个人，在违法违规违约行为处理完毕之前，该企业（包括其控股股东及其控股股东新设企业）或个人不得参加土地竞买活动。</w:t>
      </w:r>
    </w:p>
    <w:p w14:paraId="34D97F22">
      <w:pPr>
        <w:pStyle w:val="2"/>
        <w:ind w:firstLine="640"/>
        <w:rPr>
          <w:rFonts w:ascii="仿宋" w:hAnsi="仿宋" w:eastAsia="仿宋"/>
          <w:b w:val="0"/>
          <w:bCs w:val="0"/>
          <w:kern w:val="2"/>
          <w:sz w:val="32"/>
          <w:szCs w:val="32"/>
        </w:rPr>
      </w:pPr>
      <w:r>
        <w:rPr>
          <w:rFonts w:hint="eastAsia" w:ascii="仿宋" w:hAnsi="仿宋" w:eastAsia="仿宋"/>
          <w:b w:val="0"/>
          <w:bCs w:val="0"/>
          <w:color w:val="auto"/>
          <w:kern w:val="2"/>
          <w:sz w:val="32"/>
          <w:szCs w:val="32"/>
        </w:rPr>
        <w:t>（三）竞买申请人在参与网上挂牌</w:t>
      </w:r>
      <w:r>
        <w:rPr>
          <w:rFonts w:hint="eastAsia" w:ascii="仿宋" w:hAnsi="仿宋" w:eastAsia="仿宋"/>
          <w:b w:val="0"/>
          <w:bCs w:val="0"/>
          <w:kern w:val="2"/>
          <w:sz w:val="32"/>
          <w:szCs w:val="32"/>
        </w:rPr>
        <w:t>交易活动期间须在“信用中国”网站（</w:t>
      </w:r>
      <w:r>
        <w:rPr>
          <w:rFonts w:ascii="仿宋" w:hAnsi="仿宋" w:eastAsia="仿宋"/>
          <w:b w:val="0"/>
          <w:bCs w:val="0"/>
          <w:kern w:val="2"/>
          <w:sz w:val="32"/>
          <w:szCs w:val="32"/>
        </w:rPr>
        <w:t>http://www.creditchina.gov.cn</w:t>
      </w:r>
      <w:r>
        <w:rPr>
          <w:rFonts w:hint="eastAsia" w:ascii="仿宋" w:hAnsi="仿宋" w:eastAsia="仿宋"/>
          <w:b w:val="0"/>
          <w:bCs w:val="0"/>
          <w:kern w:val="2"/>
          <w:sz w:val="32"/>
          <w:szCs w:val="32"/>
        </w:rPr>
        <w:t>）无失信记录，若存在失信记录参加竞买活动的，其竞买申请为无效申请，竞买申请人自行承担相关法律后果。</w:t>
      </w:r>
    </w:p>
    <w:p w14:paraId="197EFB9B">
      <w:pPr>
        <w:spacing w:line="540" w:lineRule="exact"/>
        <w:ind w:firstLine="640" w:firstLineChars="200"/>
        <w:rPr>
          <w:rFonts w:hint="eastAsia" w:ascii="仿宋" w:hAnsi="仿宋" w:eastAsia="仿宋"/>
          <w:color w:val="auto"/>
          <w:sz w:val="32"/>
          <w:szCs w:val="44"/>
        </w:rPr>
      </w:pPr>
      <w:r>
        <w:rPr>
          <w:rFonts w:hint="eastAsia" w:ascii="仿宋" w:hAnsi="仿宋" w:eastAsia="仿宋"/>
          <w:sz w:val="32"/>
          <w:highlight w:val="none"/>
          <w:lang w:val="en-US" w:eastAsia="zh-CN"/>
        </w:rPr>
        <w:t>六、</w:t>
      </w:r>
      <w:r>
        <w:rPr>
          <w:rFonts w:hint="eastAsia" w:ascii="仿宋" w:hAnsi="仿宋" w:eastAsia="仿宋"/>
          <w:color w:val="auto"/>
          <w:sz w:val="32"/>
        </w:rPr>
        <w:t>宗地的竞买保证金</w:t>
      </w:r>
      <w:r>
        <w:rPr>
          <w:rFonts w:hint="eastAsia" w:ascii="仿宋" w:hAnsi="仿宋" w:eastAsia="仿宋"/>
          <w:color w:val="auto"/>
          <w:sz w:val="32"/>
          <w:lang w:val="en-US" w:eastAsia="zh-CN"/>
        </w:rPr>
        <w:t>为</w:t>
      </w:r>
      <w:r>
        <w:rPr>
          <w:rFonts w:hint="eastAsia" w:ascii="仿宋" w:hAnsi="仿宋" w:eastAsia="仿宋"/>
          <w:color w:val="auto"/>
          <w:sz w:val="32"/>
          <w:szCs w:val="44"/>
        </w:rPr>
        <w:t>人民币大写</w:t>
      </w:r>
      <w:r>
        <w:rPr>
          <w:rFonts w:hint="eastAsia" w:ascii="仿宋" w:hAnsi="仿宋" w:eastAsia="仿宋"/>
          <w:color w:val="auto"/>
          <w:sz w:val="32"/>
          <w:szCs w:val="44"/>
          <w:lang w:val="en-US" w:eastAsia="zh-CN"/>
        </w:rPr>
        <w:t>柒万元</w:t>
      </w:r>
      <w:r>
        <w:rPr>
          <w:rFonts w:hint="eastAsia" w:ascii="仿宋" w:hAnsi="仿宋" w:eastAsia="仿宋"/>
          <w:color w:val="auto"/>
          <w:sz w:val="32"/>
          <w:szCs w:val="44"/>
        </w:rPr>
        <w:t>整（￥：</w:t>
      </w:r>
      <w:r>
        <w:rPr>
          <w:rFonts w:hint="eastAsia" w:ascii="仿宋" w:hAnsi="仿宋" w:eastAsia="仿宋"/>
          <w:color w:val="auto"/>
          <w:sz w:val="32"/>
          <w:szCs w:val="44"/>
          <w:lang w:val="en-US" w:eastAsia="zh-CN"/>
        </w:rPr>
        <w:t>70000</w:t>
      </w:r>
      <w:r>
        <w:rPr>
          <w:rFonts w:ascii="仿宋" w:hAnsi="仿宋" w:eastAsia="仿宋"/>
          <w:color w:val="auto"/>
          <w:sz w:val="32"/>
          <w:szCs w:val="44"/>
        </w:rPr>
        <w:t>.00</w:t>
      </w:r>
      <w:r>
        <w:rPr>
          <w:rFonts w:hint="eastAsia" w:ascii="仿宋" w:hAnsi="仿宋" w:eastAsia="仿宋"/>
          <w:color w:val="auto"/>
          <w:sz w:val="32"/>
          <w:szCs w:val="44"/>
          <w:lang w:val="en-US" w:eastAsia="zh-CN"/>
        </w:rPr>
        <w:t>元</w:t>
      </w:r>
      <w:r>
        <w:rPr>
          <w:rFonts w:hint="eastAsia" w:ascii="仿宋" w:hAnsi="仿宋" w:eastAsia="仿宋"/>
          <w:color w:val="auto"/>
          <w:sz w:val="32"/>
          <w:szCs w:val="44"/>
        </w:rPr>
        <w:t>）；</w:t>
      </w:r>
    </w:p>
    <w:p w14:paraId="35FF7A02">
      <w:pPr>
        <w:spacing w:line="540" w:lineRule="exact"/>
        <w:ind w:firstLine="640" w:firstLineChars="200"/>
        <w:rPr>
          <w:rFonts w:ascii="仿宋" w:hAnsi="仿宋" w:eastAsia="仿宋"/>
          <w:color w:val="auto"/>
          <w:sz w:val="32"/>
        </w:rPr>
      </w:pPr>
      <w:r>
        <w:rPr>
          <w:rFonts w:hint="eastAsia" w:ascii="仿宋" w:hAnsi="仿宋" w:eastAsia="仿宋"/>
          <w:color w:val="auto"/>
          <w:sz w:val="32"/>
        </w:rPr>
        <w:t>宗地的出让起始价、增价幅度</w:t>
      </w:r>
      <w:r>
        <w:rPr>
          <w:rFonts w:ascii="仿宋" w:hAnsi="仿宋" w:eastAsia="仿宋"/>
          <w:color w:val="auto"/>
          <w:sz w:val="32"/>
        </w:rPr>
        <w:t xml:space="preserve"> </w:t>
      </w:r>
    </w:p>
    <w:p w14:paraId="5792DDCC">
      <w:pPr>
        <w:spacing w:line="540" w:lineRule="exact"/>
        <w:ind w:firstLine="640" w:firstLineChars="200"/>
        <w:rPr>
          <w:rFonts w:hint="eastAsia" w:ascii="仿宋" w:hAnsi="仿宋" w:eastAsia="仿宋"/>
          <w:color w:val="auto"/>
          <w:sz w:val="32"/>
        </w:rPr>
      </w:pPr>
      <w:r>
        <w:rPr>
          <w:rFonts w:hint="eastAsia" w:ascii="仿宋" w:hAnsi="仿宋" w:eastAsia="仿宋"/>
          <w:color w:val="auto"/>
          <w:sz w:val="32"/>
        </w:rPr>
        <w:t>出让起始价为人民币大写</w:t>
      </w:r>
      <w:r>
        <w:rPr>
          <w:rFonts w:hint="eastAsia" w:ascii="仿宋" w:hAnsi="仿宋" w:eastAsia="仿宋"/>
          <w:color w:val="auto"/>
          <w:sz w:val="32"/>
          <w:lang w:val="en-US" w:eastAsia="zh-CN"/>
        </w:rPr>
        <w:t>陆拾玖万捌仟壹佰</w:t>
      </w:r>
      <w:r>
        <w:rPr>
          <w:rFonts w:hint="eastAsia" w:ascii="仿宋" w:hAnsi="仿宋" w:eastAsia="仿宋"/>
          <w:color w:val="auto"/>
          <w:sz w:val="32"/>
        </w:rPr>
        <w:t>元整（￥</w:t>
      </w:r>
      <w:r>
        <w:rPr>
          <w:rFonts w:hint="eastAsia" w:ascii="仿宋" w:hAnsi="仿宋" w:eastAsia="仿宋"/>
          <w:color w:val="auto"/>
          <w:sz w:val="32"/>
          <w:lang w:val="en-US" w:eastAsia="zh-CN"/>
        </w:rPr>
        <w:t>698100</w:t>
      </w:r>
      <w:r>
        <w:rPr>
          <w:rFonts w:ascii="仿宋" w:hAnsi="仿宋" w:eastAsia="仿宋"/>
          <w:color w:val="auto"/>
          <w:sz w:val="32"/>
        </w:rPr>
        <w:t>.00</w:t>
      </w:r>
      <w:r>
        <w:rPr>
          <w:rFonts w:hint="eastAsia" w:ascii="仿宋" w:hAnsi="仿宋" w:eastAsia="仿宋"/>
          <w:color w:val="auto"/>
          <w:sz w:val="32"/>
          <w:lang w:val="en-US" w:eastAsia="zh-CN"/>
        </w:rPr>
        <w:t>元</w:t>
      </w:r>
      <w:r>
        <w:rPr>
          <w:rFonts w:hint="eastAsia" w:ascii="仿宋" w:hAnsi="仿宋" w:eastAsia="仿宋"/>
          <w:color w:val="auto"/>
          <w:sz w:val="32"/>
        </w:rPr>
        <w:t>），增价幅度为人民币大写壹万元或壹万元的整倍数；</w:t>
      </w:r>
    </w:p>
    <w:p w14:paraId="154286BD">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、申请和资格审查</w:t>
      </w:r>
    </w:p>
    <w:p w14:paraId="51D88BF2">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（一）挂牌文件取得</w:t>
      </w:r>
    </w:p>
    <w:p w14:paraId="759D2F5F">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w:t>
      </w: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3</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12</w:t>
      </w:r>
      <w:r>
        <w:rPr>
          <w:rFonts w:hint="eastAsia" w:ascii="仿宋_GB2312" w:hAnsi="仿宋_GB2312" w:eastAsia="仿宋_GB2312" w:cs="仿宋_GB2312"/>
          <w:color w:val="FF0000"/>
          <w:sz w:val="32"/>
          <w:szCs w:val="32"/>
        </w:rPr>
        <w:t>日至202</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4</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10</w:t>
      </w:r>
      <w:r>
        <w:rPr>
          <w:rFonts w:hint="eastAsia" w:ascii="仿宋_GB2312" w:hAnsi="仿宋_GB2312" w:eastAsia="仿宋_GB2312" w:cs="仿宋_GB2312"/>
          <w:color w:val="FF0000"/>
          <w:sz w:val="32"/>
          <w:szCs w:val="32"/>
        </w:rPr>
        <w:t>日</w:t>
      </w:r>
      <w:r>
        <w:rPr>
          <w:rFonts w:hint="eastAsia" w:ascii="仿宋_GB2312" w:hAnsi="仿宋_GB2312" w:eastAsia="仿宋_GB2312" w:cs="仿宋_GB2312"/>
          <w:sz w:val="32"/>
          <w:szCs w:val="32"/>
        </w:rPr>
        <w:t>，</w:t>
      </w:r>
      <w:r>
        <w:rPr>
          <w:rFonts w:hint="eastAsia" w:ascii="仿宋" w:hAnsi="仿宋" w:eastAsia="仿宋" w:cs="仿宋"/>
          <w:sz w:val="32"/>
          <w:szCs w:val="32"/>
        </w:rPr>
        <w:t>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_GB2312" w:hAnsi="仿宋_GB2312" w:eastAsia="仿宋_GB2312" w:cs="仿宋_GB2312"/>
          <w:sz w:val="32"/>
          <w:szCs w:val="32"/>
        </w:rPr>
        <w:t>,查找“土地交易”相应挂牌出让文件下载</w:t>
      </w:r>
      <w:r>
        <w:rPr>
          <w:rFonts w:hint="eastAsia" w:ascii="仿宋_GB2312" w:hAnsi="仿宋_GB2312" w:eastAsia="仿宋_GB2312" w:cs="仿宋_GB2312"/>
          <w:sz w:val="32"/>
          <w:szCs w:val="32"/>
          <w:lang w:val="en-US" w:eastAsia="zh-CN"/>
        </w:rPr>
        <w:t>相关资料</w:t>
      </w:r>
      <w:r>
        <w:rPr>
          <w:rFonts w:hint="eastAsia" w:ascii="仿宋_GB2312" w:hAnsi="仿宋_GB2312" w:eastAsia="仿宋_GB2312" w:cs="仿宋_GB2312"/>
          <w:sz w:val="32"/>
          <w:szCs w:val="32"/>
        </w:rPr>
        <w:t>，具体包括：</w:t>
      </w:r>
    </w:p>
    <w:p w14:paraId="2FB25104">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（1）挂牌出让公告；</w:t>
      </w:r>
    </w:p>
    <w:p w14:paraId="4E95D480">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（2）挂牌出让须知；</w:t>
      </w:r>
    </w:p>
    <w:p w14:paraId="3E50118D">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（3）竞买申请书；</w:t>
      </w:r>
    </w:p>
    <w:p w14:paraId="03B4E8AE">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（4）授权委托书;</w:t>
      </w:r>
    </w:p>
    <w:p w14:paraId="25D53C38">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（5）竞买资格确认书；</w:t>
      </w:r>
    </w:p>
    <w:p w14:paraId="1ACAD1A9">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（6）竞买报价单；</w:t>
      </w:r>
    </w:p>
    <w:p w14:paraId="6FDC866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（7）成交确认书；</w:t>
      </w:r>
    </w:p>
    <w:p w14:paraId="6BD773AF">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 w:hAnsi="仿宋" w:eastAsia="仿宋" w:cs="仿宋"/>
          <w:sz w:val="32"/>
          <w:szCs w:val="32"/>
          <w:lang w:val="en-US" w:eastAsia="zh-CN"/>
        </w:rPr>
        <w:t>农村集体经营性</w:t>
      </w:r>
      <w:r>
        <w:rPr>
          <w:rFonts w:hint="eastAsia" w:ascii="仿宋_GB2312" w:hAnsi="仿宋_GB2312" w:eastAsia="仿宋_GB2312" w:cs="仿宋_GB2312"/>
          <w:sz w:val="32"/>
          <w:szCs w:val="32"/>
        </w:rPr>
        <w:t>建设用地使用权出让合同文本；</w:t>
      </w:r>
    </w:p>
    <w:p w14:paraId="38E03DA2">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（9）宗地规划指标要求。</w:t>
      </w:r>
    </w:p>
    <w:p w14:paraId="3FE26665">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（二）提交申请</w:t>
      </w:r>
    </w:p>
    <w:p w14:paraId="2E36795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w:t>
      </w: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4</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1</w:t>
      </w:r>
      <w:r>
        <w:rPr>
          <w:rFonts w:hint="eastAsia" w:ascii="仿宋_GB2312" w:hAnsi="仿宋_GB2312" w:eastAsia="仿宋_GB2312" w:cs="仿宋_GB2312"/>
          <w:color w:val="FF0000"/>
          <w:sz w:val="32"/>
          <w:szCs w:val="32"/>
        </w:rPr>
        <w:t>日至202</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4</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10</w:t>
      </w:r>
      <w:r>
        <w:rPr>
          <w:rFonts w:hint="eastAsia" w:ascii="仿宋_GB2312" w:hAnsi="仿宋_GB2312" w:eastAsia="仿宋_GB2312" w:cs="仿宋_GB2312"/>
          <w:color w:val="FF0000"/>
          <w:sz w:val="32"/>
          <w:szCs w:val="32"/>
        </w:rPr>
        <w:t>日</w:t>
      </w:r>
      <w:r>
        <w:rPr>
          <w:rFonts w:hint="eastAsia" w:ascii="仿宋_GB2312" w:hAnsi="仿宋_GB2312" w:eastAsia="仿宋_GB2312" w:cs="仿宋_GB2312"/>
          <w:sz w:val="32"/>
          <w:szCs w:val="32"/>
        </w:rPr>
        <w:t>，到大冶市公共资源交易中心三楼</w:t>
      </w:r>
      <w:r>
        <w:rPr>
          <w:rFonts w:hint="eastAsia" w:ascii="仿宋_GB2312" w:hAnsi="仿宋_GB2312" w:eastAsia="仿宋_GB2312" w:cs="仿宋_GB2312"/>
          <w:sz w:val="32"/>
          <w:szCs w:val="32"/>
          <w:lang w:val="en-US" w:eastAsia="zh-CN"/>
        </w:rPr>
        <w:t>315</w:t>
      </w:r>
      <w:r>
        <w:rPr>
          <w:rFonts w:hint="eastAsia" w:ascii="仿宋_GB2312" w:hAnsi="仿宋_GB2312" w:eastAsia="仿宋_GB2312" w:cs="仿宋_GB2312"/>
          <w:sz w:val="32"/>
          <w:szCs w:val="32"/>
        </w:rPr>
        <w:t>室（0714-3188055）提交书面申请。申请文件包括：</w:t>
      </w:r>
    </w:p>
    <w:p w14:paraId="7FCCDBF9">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1、法人申请的，应提交下列文件（2份）：</w:t>
      </w:r>
    </w:p>
    <w:p w14:paraId="1101F930">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（1）竞买申请书（挂牌文件下载）（加盖单位公章）；</w:t>
      </w:r>
    </w:p>
    <w:p w14:paraId="07ECFF4B">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（2）单位营业执照复印件（加盖单位公章）；</w:t>
      </w:r>
    </w:p>
    <w:p w14:paraId="0899DDB8">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（3）法定代表人的身份证复印件（加盖单位公章）；</w:t>
      </w:r>
    </w:p>
    <w:p w14:paraId="6744E130">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6EC515B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3E9D8405">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（6）挂牌出让竞买报价单（挂牌文件下载）（加盖单位公章）；</w:t>
      </w:r>
    </w:p>
    <w:p w14:paraId="4727F5F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（7）竞买单位信用中国查询无失信信息记录（加盖单位公章）；</w:t>
      </w:r>
    </w:p>
    <w:p w14:paraId="13DC925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2、自然人申请的，应提交下列文件（2份）：</w:t>
      </w:r>
    </w:p>
    <w:p w14:paraId="70AABDE1">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（1）竞买申请书（挂牌文件下载）（签字并按手印）；</w:t>
      </w:r>
    </w:p>
    <w:p w14:paraId="3DB5819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（2）申请人有效身份证复印件（签字并按手印）；</w:t>
      </w:r>
    </w:p>
    <w:p w14:paraId="0DD5D10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（3）申请人委托他人办理的，应提交授权委托书（挂牌文件下载）及委托代理人的身份证复印件（签字并按手印）;</w:t>
      </w:r>
    </w:p>
    <w:p w14:paraId="463BD3C9">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（4）挂牌出让竞买报价单（挂牌文件下载）（签字并按手印）；</w:t>
      </w:r>
    </w:p>
    <w:p w14:paraId="14D31EDF">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（5）竞买保证金交纳凭证复印件（签字并按手印）;</w:t>
      </w:r>
    </w:p>
    <w:p w14:paraId="5ADF7630">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）竞买人信用中国查询个人无失信信息记录（签字并按手印）。</w:t>
      </w:r>
    </w:p>
    <w:p w14:paraId="33DC44F0">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3、其他组织申请的，应提交下列文件（2份）：</w:t>
      </w:r>
    </w:p>
    <w:p w14:paraId="39B0A55F">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（l）竞买申请书（挂牌文件下载）（加盖单位公章）；</w:t>
      </w:r>
    </w:p>
    <w:p w14:paraId="1130D3FF">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（2）该组织合法存在的文件或有效证明（加盖单位公章）；</w:t>
      </w:r>
    </w:p>
    <w:p w14:paraId="5188ABB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（3）该组织负责人有效身份证复印件（加盖单位公章）；</w:t>
      </w:r>
    </w:p>
    <w:p w14:paraId="00AEC4E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17AD57BC">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（5）挂牌出让竞买报价单（挂牌文件下载）（加盖单位公章）；</w:t>
      </w:r>
    </w:p>
    <w:p w14:paraId="615EDB84">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7658BA3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7DDB4B41">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4、境外申请人申请的，应提交下列文件（2份）： </w:t>
      </w:r>
    </w:p>
    <w:p w14:paraId="333254D5">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（l）竞买申请书（挂牌文件下载）（加盖单位公章）； </w:t>
      </w:r>
    </w:p>
    <w:p w14:paraId="46EC9C1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（2）境外法人、自然人、其他组织的有效身份证明文件（加盖单位公章） </w:t>
      </w:r>
    </w:p>
    <w:p w14:paraId="2F702BF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（3）申请人委托他人办理的，应提交授权委托书（挂牌文件下载）及委托代理的有效身份证复印件（加盖单位公章）；</w:t>
      </w:r>
    </w:p>
    <w:p w14:paraId="299C6D52">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52E5751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5E1FEBE3">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（6）竞买单位信用中国查询无失信信息记录（加盖单位公章）。 </w:t>
      </w:r>
    </w:p>
    <w:p w14:paraId="65FC4A62">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上述文件中，申请书必须用中文书写，其他文件可以使用其它语言，但必须附中文译本，所有文件的解释以中文译本为准。 </w:t>
      </w:r>
    </w:p>
    <w:p w14:paraId="0417C8F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5、联合申请的，应提交下列文件（2份）： </w:t>
      </w:r>
    </w:p>
    <w:p w14:paraId="4EB8558B">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（l）联合申请各方共同签署的申请书复印件（加盖单位公章）； </w:t>
      </w:r>
    </w:p>
    <w:p w14:paraId="35725205">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（2）联合申请各方的有效身份证复印件（加盖单位公章）；</w:t>
      </w:r>
    </w:p>
    <w:p w14:paraId="479DE161">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（3）联合竞投协议，协议要规定联合各方的权利、义务，并明确签订《</w:t>
      </w:r>
      <w:r>
        <w:rPr>
          <w:rFonts w:hint="eastAsia" w:ascii="仿宋" w:hAnsi="仿宋" w:eastAsia="仿宋" w:cs="仿宋"/>
          <w:sz w:val="32"/>
          <w:szCs w:val="32"/>
          <w:lang w:val="en-US" w:eastAsia="zh-CN"/>
        </w:rPr>
        <w:t>集体经营性</w:t>
      </w:r>
      <w:r>
        <w:rPr>
          <w:rFonts w:hint="eastAsia" w:ascii="仿宋_GB2312" w:hAnsi="仿宋_GB2312" w:eastAsia="仿宋_GB2312" w:cs="仿宋_GB2312"/>
          <w:sz w:val="32"/>
          <w:szCs w:val="32"/>
        </w:rPr>
        <w:t xml:space="preserve">建设用地使用权出让合同》时的受让人； </w:t>
      </w:r>
    </w:p>
    <w:p w14:paraId="5151466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15C498C4">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（5）申请人委托他人办理的，应提交授权委托书（挂牌文件下载）及委托代理人的有效身份证复印件（加盖单位公章）； </w:t>
      </w:r>
    </w:p>
    <w:p w14:paraId="2C907EAF">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0588BCB8">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38E1FB8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（三）资格审查</w:t>
      </w:r>
    </w:p>
    <w:p w14:paraId="5AC16CCD">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我中心负责对挂牌出让公告规定的时间内收到的申请书进行审查。按规定交纳竞买保证金、通过资格审查的，方能取得竞买资格。</w:t>
      </w:r>
    </w:p>
    <w:p w14:paraId="0FF59C8D">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经审查，有下列情形之一的，为无效申请： </w:t>
      </w:r>
    </w:p>
    <w:p w14:paraId="1C1084A2">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（1）申请人不具备竞买资格的；</w:t>
      </w:r>
    </w:p>
    <w:p w14:paraId="680E39EE">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（2）未按规定交纳竞买保证金的；</w:t>
      </w:r>
    </w:p>
    <w:p w14:paraId="254E980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（3）申请文件不齐全或不符合规定的； </w:t>
      </w:r>
    </w:p>
    <w:p w14:paraId="42D13413">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（4）委托他人代理，委托文件不齐全或不符合规定的； </w:t>
      </w:r>
    </w:p>
    <w:p w14:paraId="21466AA2">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（5）法律法规规定的其他情形。</w:t>
      </w:r>
    </w:p>
    <w:p w14:paraId="5A0D7E41">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（四）确认竞买人资格</w:t>
      </w:r>
    </w:p>
    <w:p w14:paraId="67AEDD7D">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经审查，申请人按规定交纳竞买保证金、具备申请条件的，我中心将在</w:t>
      </w: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4</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10</w:t>
      </w:r>
      <w:r>
        <w:rPr>
          <w:rFonts w:hint="eastAsia" w:ascii="仿宋_GB2312" w:hAnsi="仿宋_GB2312" w:eastAsia="仿宋_GB2312" w:cs="仿宋_GB2312"/>
          <w:color w:val="FF0000"/>
          <w:sz w:val="32"/>
          <w:szCs w:val="32"/>
        </w:rPr>
        <w:t>日</w:t>
      </w:r>
      <w:r>
        <w:rPr>
          <w:rFonts w:hint="eastAsia" w:ascii="仿宋_GB2312" w:hAnsi="仿宋_GB2312" w:eastAsia="仿宋_GB2312" w:cs="仿宋_GB2312"/>
          <w:color w:val="FF0000"/>
          <w:sz w:val="32"/>
          <w:szCs w:val="32"/>
          <w:lang w:val="en-US" w:eastAsia="zh-CN"/>
        </w:rPr>
        <w:t>17</w:t>
      </w:r>
      <w:r>
        <w:rPr>
          <w:rFonts w:hint="eastAsia" w:ascii="仿宋_GB2312" w:hAnsi="仿宋_GB2312" w:eastAsia="仿宋_GB2312" w:cs="仿宋_GB2312"/>
          <w:sz w:val="32"/>
          <w:szCs w:val="32"/>
        </w:rPr>
        <w:t>时前发给《竞买资格确认书》确认其竞买资格，并通知其参加挂牌活动。</w:t>
      </w:r>
    </w:p>
    <w:p w14:paraId="1F07BE2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（五）答疑及现场踏勘</w:t>
      </w:r>
    </w:p>
    <w:p w14:paraId="4F4AB0F6">
      <w:pPr>
        <w:spacing w:line="44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申请人对挂牌出让文件有疑问的，可在挂牌活动开始前以书面或者口头方式向我中心咨询。</w:t>
      </w:r>
      <w:r>
        <w:rPr>
          <w:rFonts w:hint="eastAsia" w:ascii="仿宋" w:hAnsi="仿宋" w:eastAsia="仿宋"/>
          <w:color w:val="FF0000"/>
          <w:sz w:val="32"/>
          <w:szCs w:val="32"/>
        </w:rPr>
        <w:t>大冶市</w:t>
      </w:r>
      <w:r>
        <w:rPr>
          <w:rFonts w:hint="eastAsia" w:ascii="仿宋" w:hAnsi="仿宋" w:eastAsia="仿宋"/>
          <w:color w:val="FF0000"/>
          <w:sz w:val="32"/>
          <w:szCs w:val="32"/>
          <w:lang w:val="en-US" w:eastAsia="zh-CN"/>
        </w:rPr>
        <w:t>还地桥镇马石村村民委员会</w:t>
      </w:r>
      <w:r>
        <w:rPr>
          <w:rFonts w:hint="eastAsia" w:ascii="仿宋_GB2312" w:hAnsi="仿宋_GB2312" w:eastAsia="仿宋_GB2312" w:cs="仿宋_GB2312"/>
          <w:sz w:val="32"/>
          <w:szCs w:val="32"/>
        </w:rPr>
        <w:t>于</w:t>
      </w: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4</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1</w:t>
      </w:r>
      <w:r>
        <w:rPr>
          <w:rFonts w:hint="eastAsia" w:ascii="仿宋_GB2312" w:hAnsi="仿宋_GB2312" w:eastAsia="仿宋_GB2312" w:cs="仿宋_GB2312"/>
          <w:color w:val="FF0000"/>
          <w:sz w:val="32"/>
          <w:szCs w:val="32"/>
        </w:rPr>
        <w:t>日</w:t>
      </w:r>
      <w:r>
        <w:rPr>
          <w:rFonts w:hint="eastAsia" w:ascii="仿宋_GB2312" w:hAnsi="仿宋_GB2312" w:eastAsia="仿宋_GB2312" w:cs="仿宋_GB2312"/>
          <w:sz w:val="32"/>
          <w:szCs w:val="32"/>
        </w:rPr>
        <w:t>组织申请人对拟出让地块进行现场踏勘。</w:t>
      </w:r>
    </w:p>
    <w:p w14:paraId="52044531">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、本次挂牌出让活动有关时间</w:t>
      </w:r>
    </w:p>
    <w:p w14:paraId="46B0B3AD">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挂牌时间为</w:t>
      </w:r>
      <w:r>
        <w:rPr>
          <w:rFonts w:hint="eastAsia" w:ascii="仿宋_GB2312" w:hAnsi="仿宋_GB2312" w:eastAsia="仿宋_GB2312" w:cs="仿宋_GB2312"/>
          <w:color w:val="FF0000"/>
          <w:sz w:val="32"/>
          <w:szCs w:val="32"/>
          <w:lang w:val="en-US" w:eastAsia="zh-CN"/>
        </w:rPr>
        <w:t>13</w:t>
      </w:r>
      <w:r>
        <w:rPr>
          <w:rFonts w:hint="eastAsia" w:ascii="仿宋_GB2312" w:hAnsi="仿宋_GB2312" w:eastAsia="仿宋_GB2312" w:cs="仿宋_GB2312"/>
          <w:sz w:val="32"/>
          <w:szCs w:val="32"/>
        </w:rPr>
        <w:t>日，具体如下：</w:t>
      </w:r>
    </w:p>
    <w:p w14:paraId="7B75623E">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1、挂牌起始时间：</w:t>
      </w: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4</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1</w:t>
      </w:r>
      <w:r>
        <w:rPr>
          <w:rFonts w:hint="eastAsia" w:ascii="仿宋_GB2312" w:hAnsi="仿宋_GB2312" w:eastAsia="仿宋_GB2312" w:cs="仿宋_GB2312"/>
          <w:color w:val="FF0000"/>
          <w:sz w:val="32"/>
          <w:szCs w:val="32"/>
        </w:rPr>
        <w:t>日上午10时</w:t>
      </w:r>
      <w:r>
        <w:rPr>
          <w:rFonts w:hint="eastAsia" w:ascii="仿宋_GB2312" w:hAnsi="仿宋_GB2312" w:eastAsia="仿宋_GB2312" w:cs="仿宋_GB2312"/>
          <w:sz w:val="32"/>
          <w:szCs w:val="32"/>
        </w:rPr>
        <w:t xml:space="preserve">； </w:t>
      </w:r>
    </w:p>
    <w:p w14:paraId="40E50C54">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2、挂牌截止时间：</w:t>
      </w: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4</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14</w:t>
      </w:r>
      <w:r>
        <w:rPr>
          <w:rFonts w:hint="eastAsia" w:ascii="仿宋_GB2312" w:hAnsi="仿宋_GB2312" w:eastAsia="仿宋_GB2312" w:cs="仿宋_GB2312"/>
          <w:color w:val="FF0000"/>
          <w:sz w:val="32"/>
          <w:szCs w:val="32"/>
        </w:rPr>
        <w:t>日上午10时</w:t>
      </w:r>
      <w:r>
        <w:rPr>
          <w:rFonts w:hint="eastAsia" w:ascii="仿宋_GB2312" w:hAnsi="仿宋_GB2312" w:eastAsia="仿宋_GB2312" w:cs="仿宋_GB2312"/>
          <w:sz w:val="32"/>
          <w:szCs w:val="32"/>
        </w:rPr>
        <w:t>。</w:t>
      </w:r>
    </w:p>
    <w:p w14:paraId="4E9F32F4">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3、接受挂牌报价时间：挂牌期间上午8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时至11</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时和下午2时至5时。</w:t>
      </w:r>
    </w:p>
    <w:p w14:paraId="3434761B">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九、挂牌程序</w:t>
      </w:r>
    </w:p>
    <w:p w14:paraId="039A9AB5">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（一）公布挂牌信息</w:t>
      </w:r>
    </w:p>
    <w:p w14:paraId="719DAD3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1、挂牌人将有关宗地的位置、面积、用途、使用年期、规划要求、起始价、增价规则及增价幅度等挂牌公布；</w:t>
      </w:r>
    </w:p>
    <w:p w14:paraId="2790D2D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2、挂牌主持人介绍各地块的情况。</w:t>
      </w:r>
    </w:p>
    <w:p w14:paraId="689B7ED3">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（二）挂牌竞价 </w:t>
      </w:r>
    </w:p>
    <w:p w14:paraId="26352239">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1、挂牌主持人介绍挂牌起始价、增价幅度等竞价规则，宣布挂牌竞价开始； </w:t>
      </w:r>
    </w:p>
    <w:p w14:paraId="73D755DD">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2、竞买人填写 《挂牌竞买报价单》 进行报价； </w:t>
      </w:r>
    </w:p>
    <w:p w14:paraId="0F3927A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3、挂牌主持人收到《挂牌竞买报价单》后，对报价单予以审核，对符合规定的报价予以确认； </w:t>
      </w:r>
    </w:p>
    <w:p w14:paraId="05F8FCA5">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4、挂牌主持人确认该报价后，更新显示挂牌价格，继续接受新的报价。</w:t>
      </w:r>
    </w:p>
    <w:p w14:paraId="1267F80D">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（三）挂牌截止</w:t>
      </w:r>
    </w:p>
    <w:p w14:paraId="078757B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挂牌截止应当由挂牌主持人主持确定。设有底价的，出让人应当在挂牌截止前将密封的挂牌底价交给挂牌主持人，挂牌主持人现场打开密封件。在公告规定的挂牌截止时间，竞买人应当出席挂牌现场，挂牌主持人宣布最高报价及其报价者，并询问竞买人是否愿意继续竞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以上地块由挂牌主持人在</w:t>
      </w: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4</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14</w:t>
      </w:r>
      <w:r>
        <w:rPr>
          <w:rFonts w:hint="eastAsia" w:ascii="仿宋_GB2312" w:hAnsi="仿宋_GB2312" w:eastAsia="仿宋_GB2312" w:cs="仿宋_GB2312"/>
          <w:color w:val="FF0000"/>
          <w:sz w:val="32"/>
          <w:szCs w:val="32"/>
        </w:rPr>
        <w:t>日</w:t>
      </w:r>
      <w:r>
        <w:rPr>
          <w:rFonts w:hint="eastAsia" w:ascii="仿宋_GB2312" w:hAnsi="仿宋_GB2312" w:eastAsia="仿宋_GB2312" w:cs="仿宋_GB2312"/>
          <w:sz w:val="32"/>
          <w:szCs w:val="32"/>
        </w:rPr>
        <w:t>上午10时主持确定挂牌截止。</w:t>
      </w:r>
    </w:p>
    <w:p w14:paraId="7E60102D">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2、挂牌主持人宣布最高报价及其报价者，并询问竞买人是否愿意继续竞价。</w:t>
      </w:r>
    </w:p>
    <w:p w14:paraId="1FD63A23">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3、有竞买人表示愿意继续竞价的，即属于挂牌截止时有两个或两个以上竞买人要求报价的情形，挂牌主持人应当宣布挂牌出让转入现场竞价，并宣布现场竞价的时间和地点，通过现场竞价确定竞得人。</w:t>
      </w:r>
    </w:p>
    <w:p w14:paraId="0599E203">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4、挂牌主持人连续三次报出最高挂牌价格，没有竞买人表示愿意继续竞价的，挂牌主持人宣布挂牌活动结束，并按下列规定确定挂牌结果：</w:t>
      </w:r>
    </w:p>
    <w:p w14:paraId="0005A343">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（l）最高挂牌价格不低于</w:t>
      </w:r>
      <w:r>
        <w:rPr>
          <w:rFonts w:hint="eastAsia" w:ascii="仿宋_GB2312" w:hAnsi="仿宋_GB2312" w:eastAsia="仿宋_GB2312" w:cs="仿宋_GB2312"/>
          <w:sz w:val="32"/>
          <w:szCs w:val="32"/>
          <w:lang w:val="en-US" w:eastAsia="zh-CN"/>
        </w:rPr>
        <w:t>起始价</w:t>
      </w:r>
      <w:r>
        <w:rPr>
          <w:rFonts w:hint="eastAsia" w:ascii="仿宋_GB2312" w:hAnsi="仿宋_GB2312" w:eastAsia="仿宋_GB2312" w:cs="仿宋_GB2312"/>
          <w:sz w:val="32"/>
          <w:szCs w:val="32"/>
        </w:rPr>
        <w:t xml:space="preserve">的，挂牌主持人宣布挂牌成交，最高挂牌价格的出价人为竞得人； </w:t>
      </w:r>
    </w:p>
    <w:p w14:paraId="376C0F1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（2）最高挂牌价格低于</w:t>
      </w:r>
      <w:r>
        <w:rPr>
          <w:rFonts w:hint="eastAsia" w:ascii="仿宋_GB2312" w:hAnsi="仿宋_GB2312" w:eastAsia="仿宋_GB2312" w:cs="仿宋_GB2312"/>
          <w:sz w:val="32"/>
          <w:szCs w:val="32"/>
          <w:lang w:val="en-US" w:eastAsia="zh-CN"/>
        </w:rPr>
        <w:t>起始价</w:t>
      </w:r>
      <w:r>
        <w:rPr>
          <w:rFonts w:hint="eastAsia" w:ascii="仿宋_GB2312" w:hAnsi="仿宋_GB2312" w:eastAsia="仿宋_GB2312" w:cs="仿宋_GB2312"/>
          <w:sz w:val="32"/>
          <w:szCs w:val="32"/>
        </w:rPr>
        <w:t>的，挂牌主持人宣布挂牌不成交。</w:t>
      </w:r>
    </w:p>
    <w:p w14:paraId="48CD43D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（四）现场竞价</w:t>
      </w:r>
    </w:p>
    <w:p w14:paraId="0A4B0D8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现场竞价由土地招标拍卖挂牌主持人主持进行，取得该宗地挂牌竞买资格的竞买人均可参加现场竞价。现场竞价按下列程序举行： </w:t>
      </w:r>
    </w:p>
    <w:p w14:paraId="67CBDAE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（l）挂牌主持人应当宣布现场竞价的起始价、竞价规则和增价幅度，并宣布现场竞价开始。现场竞价的起始价为挂牌活动截止时的最高报价增加一个加价幅度后的价格。 </w:t>
      </w:r>
    </w:p>
    <w:p w14:paraId="473098DB">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（2）参加现场竞价的竞买人按照竞价规则应价或报价。 </w:t>
      </w:r>
    </w:p>
    <w:p w14:paraId="0B481680">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（3）挂牌主持人确认该竞买人应价或者报价后继续竞价。</w:t>
      </w:r>
    </w:p>
    <w:p w14:paraId="4B2DA99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（4）挂牌主持人连续三次宣布同一应价或报价而没有人再应价或报价，且该价格不低于</w:t>
      </w:r>
      <w:r>
        <w:rPr>
          <w:rFonts w:hint="eastAsia" w:ascii="仿宋_GB2312" w:hAnsi="仿宋_GB2312" w:eastAsia="仿宋_GB2312" w:cs="仿宋_GB2312"/>
          <w:sz w:val="32"/>
          <w:szCs w:val="32"/>
          <w:lang w:val="en-US" w:eastAsia="zh-CN"/>
        </w:rPr>
        <w:t>起始价</w:t>
      </w:r>
      <w:r>
        <w:rPr>
          <w:rFonts w:hint="eastAsia" w:ascii="仿宋_GB2312" w:hAnsi="仿宋_GB2312" w:eastAsia="仿宋_GB2312" w:cs="仿宋_GB2312"/>
          <w:sz w:val="32"/>
          <w:szCs w:val="32"/>
        </w:rPr>
        <w:t>的，挂牌主持人宣布最高应价或报价者为竞得人。最高应价或报价低于</w:t>
      </w:r>
      <w:r>
        <w:rPr>
          <w:rFonts w:hint="eastAsia" w:ascii="仿宋_GB2312" w:hAnsi="仿宋_GB2312" w:eastAsia="仿宋_GB2312" w:cs="仿宋_GB2312"/>
          <w:sz w:val="32"/>
          <w:szCs w:val="32"/>
          <w:lang w:val="en-US" w:eastAsia="zh-CN"/>
        </w:rPr>
        <w:t>起始价</w:t>
      </w:r>
      <w:r>
        <w:rPr>
          <w:rFonts w:hint="eastAsia" w:ascii="仿宋_GB2312" w:hAnsi="仿宋_GB2312" w:eastAsia="仿宋_GB2312" w:cs="仿宋_GB2312"/>
          <w:sz w:val="32"/>
          <w:szCs w:val="32"/>
        </w:rPr>
        <w:t>的，挂牌主持人宣布现场竞价终止。在现场竞价中无人参加竞买或无人加价的，以挂牌截止时出价最高者为竞得人，但低于挂牌出让</w:t>
      </w:r>
      <w:r>
        <w:rPr>
          <w:rFonts w:hint="eastAsia" w:ascii="仿宋_GB2312" w:hAnsi="仿宋_GB2312" w:eastAsia="仿宋_GB2312" w:cs="仿宋_GB2312"/>
          <w:sz w:val="32"/>
          <w:szCs w:val="32"/>
          <w:lang w:val="en-US" w:eastAsia="zh-CN"/>
        </w:rPr>
        <w:t>起始价</w:t>
      </w:r>
      <w:r>
        <w:rPr>
          <w:rFonts w:hint="eastAsia" w:ascii="仿宋_GB2312" w:hAnsi="仿宋_GB2312" w:eastAsia="仿宋_GB2312" w:cs="仿宋_GB2312"/>
          <w:sz w:val="32"/>
          <w:szCs w:val="32"/>
        </w:rPr>
        <w:t>者除外。</w:t>
      </w:r>
    </w:p>
    <w:p w14:paraId="17720EA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（五）签订《成交确认书》</w:t>
      </w:r>
    </w:p>
    <w:p w14:paraId="5D9F6E48">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确定竞得人后，挂牌人与竞得人当场签订《成交确认书》。竞得人拒绝签订《成交确认书》也不能对抗挂牌成交结果的法律效力。</w:t>
      </w:r>
    </w:p>
    <w:p w14:paraId="7100FE9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（六）签订《</w:t>
      </w:r>
      <w:r>
        <w:rPr>
          <w:rFonts w:hint="eastAsia" w:ascii="仿宋" w:hAnsi="仿宋" w:eastAsia="仿宋" w:cs="仿宋"/>
          <w:sz w:val="32"/>
          <w:szCs w:val="32"/>
          <w:lang w:val="en-US" w:eastAsia="zh-CN"/>
        </w:rPr>
        <w:t>集体经营性</w:t>
      </w:r>
      <w:r>
        <w:rPr>
          <w:rFonts w:hint="eastAsia" w:ascii="仿宋_GB2312" w:hAnsi="仿宋_GB2312" w:eastAsia="仿宋_GB2312" w:cs="仿宋_GB2312"/>
          <w:sz w:val="32"/>
          <w:szCs w:val="32"/>
        </w:rPr>
        <w:t>建设用地使用权出让合同》</w:t>
      </w:r>
    </w:p>
    <w:p w14:paraId="5B91F688">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出让人与竞得人依据《成交确认书》约定签订《</w:t>
      </w:r>
      <w:r>
        <w:rPr>
          <w:rFonts w:hint="eastAsia" w:ascii="仿宋" w:hAnsi="仿宋" w:eastAsia="仿宋" w:cs="仿宋"/>
          <w:sz w:val="32"/>
          <w:szCs w:val="32"/>
          <w:lang w:val="en-US" w:eastAsia="zh-CN"/>
        </w:rPr>
        <w:t>集体经营性</w:t>
      </w:r>
      <w:r>
        <w:rPr>
          <w:rFonts w:hint="eastAsia" w:ascii="仿宋_GB2312" w:hAnsi="仿宋_GB2312" w:eastAsia="仿宋_GB2312" w:cs="仿宋_GB2312"/>
          <w:sz w:val="32"/>
          <w:szCs w:val="32"/>
        </w:rPr>
        <w:t>建设用地使用权出让合同》。</w:t>
      </w:r>
    </w:p>
    <w:p w14:paraId="1DDF562C">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（七）出让结果公布</w:t>
      </w:r>
    </w:p>
    <w:p w14:paraId="7873731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我中心将在本次</w:t>
      </w:r>
      <w:r>
        <w:rPr>
          <w:rFonts w:hint="eastAsia" w:ascii="仿宋" w:hAnsi="仿宋" w:eastAsia="仿宋" w:cs="仿宋"/>
          <w:sz w:val="32"/>
          <w:szCs w:val="32"/>
          <w:lang w:val="en-US" w:eastAsia="zh-CN"/>
        </w:rPr>
        <w:t>农村集体经营性</w:t>
      </w:r>
      <w:r>
        <w:rPr>
          <w:rFonts w:hint="eastAsia" w:ascii="仿宋_GB2312" w:hAnsi="仿宋_GB2312" w:eastAsia="仿宋_GB2312" w:cs="仿宋_GB2312"/>
          <w:sz w:val="32"/>
          <w:szCs w:val="32"/>
        </w:rPr>
        <w:t>建设用地使用权挂牌出让活动结束后 10 个工作日内，在中国土地市场网及大冶市公共资源交易中心网公布本次国有建设用地使用权挂牌出让结果。</w:t>
      </w:r>
    </w:p>
    <w:p w14:paraId="3B990BB1">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十、报价规则</w:t>
      </w:r>
    </w:p>
    <w:p w14:paraId="0D9D7BB2">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（一）本次挂牌以价高者得为原则确定竞得人。</w:t>
      </w:r>
    </w:p>
    <w:p w14:paraId="046A67D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（二）本次挂牌以增价方式进行报价，每次加价幅度不得小于挂牌主持人宣布的增价幅度。</w:t>
      </w:r>
    </w:p>
    <w:p w14:paraId="3DAFDBD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（三）竞买人以填写《挂牌竞买报价单》方式报价，《挂牌竞买报价单》一经报出，不得撤回。</w:t>
      </w:r>
    </w:p>
    <w:p w14:paraId="796960E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（四）在报价期间，竞买人可多次报价。</w:t>
      </w:r>
    </w:p>
    <w:p w14:paraId="12764A83">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（五）竞买人报价有下列情形之一的，为无效报价： </w:t>
      </w:r>
    </w:p>
    <w:p w14:paraId="6A2E7A5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（1）报价单未在挂牌期限内收到的；</w:t>
      </w:r>
    </w:p>
    <w:p w14:paraId="358EF0AC">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（2）不按规定填写报价单的； </w:t>
      </w:r>
    </w:p>
    <w:p w14:paraId="466AC71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（3）报价单填写人与竞买申请文件不符的； </w:t>
      </w:r>
    </w:p>
    <w:p w14:paraId="69026C40">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（4）报价不符合报价规则的； </w:t>
      </w:r>
    </w:p>
    <w:p w14:paraId="04DF4CE3">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（5）报价不符合挂牌文件规定的其他情形。</w:t>
      </w:r>
    </w:p>
    <w:p w14:paraId="11984C6D">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（六）有两个或两个以上竞买人报价相同的，确认先提交报价单者为该挂牌价格的出价人。</w:t>
      </w:r>
    </w:p>
    <w:p w14:paraId="5E66FEA5">
      <w:pPr>
        <w:spacing w:line="540" w:lineRule="exact"/>
        <w:ind w:firstLine="640" w:firstLineChars="200"/>
        <w:rPr>
          <w:rFonts w:ascii="仿宋" w:hAnsi="仿宋" w:eastAsia="仿宋"/>
          <w:sz w:val="32"/>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w:t>
      </w:r>
      <w:r>
        <w:rPr>
          <w:rFonts w:hint="eastAsia" w:ascii="仿宋" w:hAnsi="仿宋" w:eastAsia="仿宋"/>
          <w:sz w:val="32"/>
          <w:lang w:val="en-US" w:eastAsia="zh-CN"/>
        </w:rPr>
        <w:t xml:space="preserve"> </w:t>
      </w:r>
      <w:r>
        <w:rPr>
          <w:rFonts w:hint="eastAsia" w:ascii="仿宋" w:hAnsi="仿宋" w:eastAsia="仿宋"/>
          <w:sz w:val="32"/>
        </w:rPr>
        <w:t>注意事项</w:t>
      </w:r>
    </w:p>
    <w:p w14:paraId="57C6307A">
      <w:pPr>
        <w:spacing w:line="540" w:lineRule="exact"/>
        <w:ind w:firstLine="640" w:firstLineChars="200"/>
        <w:rPr>
          <w:rFonts w:ascii="仿宋" w:hAnsi="仿宋" w:eastAsia="仿宋"/>
          <w:sz w:val="32"/>
        </w:rPr>
      </w:pPr>
      <w:r>
        <w:rPr>
          <w:rFonts w:ascii="仿宋" w:hAnsi="仿宋" w:eastAsia="仿宋"/>
          <w:sz w:val="32"/>
        </w:rPr>
        <w:t>(</w:t>
      </w:r>
      <w:r>
        <w:rPr>
          <w:rFonts w:hint="eastAsia" w:ascii="仿宋" w:hAnsi="仿宋" w:eastAsia="仿宋"/>
          <w:sz w:val="32"/>
        </w:rPr>
        <w:t>一</w:t>
      </w:r>
      <w:r>
        <w:rPr>
          <w:rFonts w:ascii="仿宋" w:hAnsi="仿宋" w:eastAsia="仿宋"/>
          <w:sz w:val="32"/>
        </w:rPr>
        <w:t>)</w:t>
      </w:r>
      <w:r>
        <w:rPr>
          <w:rFonts w:hint="eastAsia" w:ascii="仿宋" w:hAnsi="仿宋" w:eastAsia="仿宋"/>
          <w:sz w:val="32"/>
        </w:rPr>
        <w:t>本次交易活动限制存在失信记录的竞买申请人参与本次网上挂牌出让活动。竞买申请人提交申请前应当自行通过“信用中国”网站（</w:t>
      </w:r>
      <w:r>
        <w:rPr>
          <w:rFonts w:ascii="仿宋" w:hAnsi="仿宋" w:eastAsia="仿宋"/>
          <w:sz w:val="32"/>
        </w:rPr>
        <w:t>http://www.creditchina.gov.cn</w:t>
      </w:r>
      <w:r>
        <w:rPr>
          <w:rFonts w:hint="eastAsia" w:ascii="仿宋" w:hAnsi="仿宋" w:eastAsia="仿宋"/>
          <w:sz w:val="32"/>
        </w:rPr>
        <w:t>）或各级信用共享平台查询是否有失信记录，并须做到在参加网上挂牌竞买活动期间无失信记录。竞得人在签订《成交确认书》前，大冶市公共资源交易中心通过“信用中国”网站查询竞得人是否存在失信记录并截图取证，竞得人存在失信记录的取消其竞得资格，交易结果无效，交纳的竞买保证金不予退还。</w:t>
      </w:r>
    </w:p>
    <w:p w14:paraId="1C3CFBBD">
      <w:pPr>
        <w:spacing w:line="540" w:lineRule="exact"/>
        <w:ind w:firstLine="640" w:firstLineChars="200"/>
        <w:rPr>
          <w:rFonts w:ascii="仿宋" w:hAnsi="仿宋" w:eastAsia="仿宋"/>
          <w:sz w:val="32"/>
        </w:rPr>
      </w:pPr>
      <w:r>
        <w:rPr>
          <w:rFonts w:hint="eastAsia" w:ascii="仿宋" w:hAnsi="仿宋" w:eastAsia="仿宋"/>
          <w:sz w:val="32"/>
        </w:rPr>
        <w:t>（二）申请人须全面阅读有关出让文件，如有疑问可以在出让活动开始日以前用书面或口头方式向我</w:t>
      </w:r>
      <w:r>
        <w:rPr>
          <w:rFonts w:hint="eastAsia" w:ascii="仿宋" w:hAnsi="仿宋" w:eastAsia="仿宋"/>
          <w:sz w:val="32"/>
          <w:lang w:val="en-US" w:eastAsia="zh-CN"/>
        </w:rPr>
        <w:t>村</w:t>
      </w:r>
      <w:r>
        <w:rPr>
          <w:rFonts w:hint="eastAsia" w:ascii="仿宋" w:hAnsi="仿宋" w:eastAsia="仿宋"/>
          <w:sz w:val="32"/>
        </w:rPr>
        <w:t>咨询。申请人可到现场踏勘公开出让地块。申请一经受理确认后，即视为竞买人对公开出让文件及地块现状无异议并全部接受，并对有关承诺承担法律责任。</w:t>
      </w:r>
    </w:p>
    <w:p w14:paraId="44725406">
      <w:pPr>
        <w:spacing w:line="540" w:lineRule="exact"/>
        <w:ind w:firstLine="640" w:firstLineChars="200"/>
        <w:rPr>
          <w:rFonts w:ascii="仿宋" w:hAnsi="仿宋" w:eastAsia="仿宋"/>
          <w:color w:val="auto"/>
          <w:sz w:val="32"/>
          <w:szCs w:val="32"/>
        </w:rPr>
      </w:pPr>
      <w:r>
        <w:rPr>
          <w:rFonts w:hint="eastAsia" w:ascii="仿宋" w:hAnsi="仿宋" w:eastAsia="仿宋"/>
          <w:sz w:val="32"/>
        </w:rPr>
        <w:t>（三）申请人竞得土地后，拟成立新公司进行开发建设的，应在申请书中明确新公司的出资构成、成立时间等内容。</w:t>
      </w:r>
      <w:r>
        <w:rPr>
          <w:rFonts w:hint="eastAsia" w:ascii="仿宋" w:hAnsi="仿宋" w:eastAsia="仿宋"/>
          <w:sz w:val="32"/>
          <w:lang w:val="en-US" w:eastAsia="zh-CN"/>
        </w:rPr>
        <w:t>我村</w:t>
      </w:r>
      <w:r>
        <w:rPr>
          <w:rFonts w:hint="eastAsia" w:ascii="仿宋" w:hAnsi="仿宋" w:eastAsia="仿宋"/>
          <w:sz w:val="32"/>
        </w:rPr>
        <w:t>可以根据公开出让结果与竞得人签订</w:t>
      </w:r>
      <w:r>
        <w:rPr>
          <w:rFonts w:hint="eastAsia" w:ascii="仿宋" w:hAnsi="仿宋" w:eastAsia="仿宋"/>
          <w:color w:val="auto"/>
          <w:sz w:val="32"/>
          <w:szCs w:val="32"/>
          <w:lang w:val="en-US" w:eastAsia="zh-CN"/>
        </w:rPr>
        <w:t>《集体经营性</w:t>
      </w:r>
      <w:r>
        <w:rPr>
          <w:rFonts w:hint="eastAsia" w:ascii="仿宋" w:hAnsi="仿宋" w:eastAsia="仿宋"/>
          <w:color w:val="auto"/>
          <w:sz w:val="32"/>
          <w:szCs w:val="32"/>
        </w:rPr>
        <w:t>建设用地使用权出让合同</w:t>
      </w:r>
      <w:r>
        <w:rPr>
          <w:rFonts w:hint="eastAsia" w:ascii="仿宋" w:hAnsi="仿宋" w:eastAsia="仿宋"/>
          <w:color w:val="auto"/>
          <w:sz w:val="32"/>
          <w:szCs w:val="32"/>
          <w:lang w:val="en-US" w:eastAsia="zh-CN"/>
        </w:rPr>
        <w:t>》</w:t>
      </w:r>
      <w:r>
        <w:rPr>
          <w:rFonts w:hint="eastAsia" w:ascii="仿宋" w:hAnsi="仿宋" w:eastAsia="仿宋"/>
          <w:sz w:val="32"/>
        </w:rPr>
        <w:t>，在竞得人按约定办理完新公司注册登记手续后，再与新公司签订</w:t>
      </w:r>
      <w:r>
        <w:rPr>
          <w:rFonts w:hint="eastAsia" w:ascii="仿宋" w:hAnsi="仿宋" w:eastAsia="仿宋"/>
          <w:color w:val="auto"/>
          <w:sz w:val="32"/>
          <w:szCs w:val="32"/>
          <w:lang w:val="en-US" w:eastAsia="zh-CN"/>
        </w:rPr>
        <w:t>《集体经营性</w:t>
      </w:r>
      <w:r>
        <w:rPr>
          <w:rFonts w:hint="eastAsia" w:ascii="仿宋" w:hAnsi="仿宋" w:eastAsia="仿宋"/>
          <w:color w:val="auto"/>
          <w:sz w:val="32"/>
          <w:szCs w:val="32"/>
        </w:rPr>
        <w:t>建设用地使用权出让合同</w:t>
      </w:r>
      <w:r>
        <w:rPr>
          <w:rFonts w:hint="eastAsia" w:ascii="仿宋" w:hAnsi="仿宋" w:eastAsia="仿宋"/>
          <w:color w:val="auto"/>
          <w:sz w:val="32"/>
          <w:szCs w:val="32"/>
          <w:lang w:val="en-US" w:eastAsia="zh-CN"/>
        </w:rPr>
        <w:t>变更协议》</w:t>
      </w:r>
      <w:r>
        <w:rPr>
          <w:rFonts w:hint="eastAsia" w:ascii="仿宋" w:hAnsi="仿宋" w:eastAsia="仿宋"/>
          <w:sz w:val="32"/>
        </w:rPr>
        <w:t>，或者直接与新公司签订</w:t>
      </w:r>
      <w:r>
        <w:rPr>
          <w:rFonts w:hint="eastAsia" w:ascii="仿宋" w:hAnsi="仿宋" w:eastAsia="仿宋"/>
          <w:color w:val="auto"/>
          <w:sz w:val="32"/>
          <w:szCs w:val="32"/>
          <w:lang w:val="en-US" w:eastAsia="zh-CN"/>
        </w:rPr>
        <w:t>《集体经营性</w:t>
      </w:r>
      <w:r>
        <w:rPr>
          <w:rFonts w:hint="eastAsia" w:ascii="仿宋" w:hAnsi="仿宋" w:eastAsia="仿宋"/>
          <w:color w:val="auto"/>
          <w:sz w:val="32"/>
          <w:szCs w:val="32"/>
        </w:rPr>
        <w:t>建设用地使用权出让合同</w:t>
      </w:r>
      <w:r>
        <w:rPr>
          <w:rFonts w:hint="eastAsia" w:ascii="仿宋" w:hAnsi="仿宋" w:eastAsia="仿宋"/>
          <w:color w:val="auto"/>
          <w:sz w:val="32"/>
          <w:szCs w:val="32"/>
          <w:lang w:val="en-US" w:eastAsia="zh-CN"/>
        </w:rPr>
        <w:t>》</w:t>
      </w:r>
      <w:r>
        <w:rPr>
          <w:rFonts w:hint="eastAsia" w:ascii="仿宋" w:hAnsi="仿宋" w:eastAsia="仿宋"/>
          <w:sz w:val="32"/>
        </w:rPr>
        <w:t>。</w:t>
      </w:r>
      <w:r>
        <w:rPr>
          <w:rFonts w:hint="eastAsia" w:ascii="仿宋" w:hAnsi="仿宋" w:eastAsia="仿宋"/>
          <w:color w:val="auto"/>
          <w:sz w:val="32"/>
          <w:szCs w:val="32"/>
          <w:lang w:val="en-US" w:eastAsia="zh-CN"/>
        </w:rPr>
        <w:t>同时与出让人、监管人签订《集体经营性</w:t>
      </w:r>
      <w:r>
        <w:rPr>
          <w:rFonts w:hint="eastAsia" w:ascii="仿宋" w:hAnsi="仿宋" w:eastAsia="仿宋"/>
          <w:color w:val="auto"/>
          <w:sz w:val="32"/>
          <w:szCs w:val="32"/>
        </w:rPr>
        <w:t>建设用地使用权出让</w:t>
      </w:r>
      <w:r>
        <w:rPr>
          <w:rFonts w:hint="eastAsia" w:ascii="仿宋" w:hAnsi="仿宋" w:eastAsia="仿宋"/>
          <w:color w:val="auto"/>
          <w:sz w:val="32"/>
          <w:szCs w:val="32"/>
          <w:lang w:val="en-US" w:eastAsia="zh-CN"/>
        </w:rPr>
        <w:t>监管协议》</w:t>
      </w:r>
      <w:r>
        <w:rPr>
          <w:rFonts w:hint="eastAsia" w:ascii="仿宋" w:hAnsi="仿宋" w:eastAsia="仿宋"/>
          <w:color w:val="auto"/>
          <w:sz w:val="32"/>
          <w:szCs w:val="32"/>
        </w:rPr>
        <w:t>。</w:t>
      </w:r>
    </w:p>
    <w:p w14:paraId="53342F90">
      <w:pPr>
        <w:spacing w:line="540" w:lineRule="exact"/>
        <w:ind w:firstLine="640" w:firstLineChars="200"/>
        <w:rPr>
          <w:rFonts w:hint="eastAsia"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（四）本次公开出让地块不设底价，按照价高者得的原则确定竞得人，但成交价低于起始价的竞买无效。</w:t>
      </w:r>
    </w:p>
    <w:p w14:paraId="6C929D87">
      <w:pPr>
        <w:spacing w:line="540" w:lineRule="exact"/>
        <w:ind w:firstLine="640" w:firstLineChars="200"/>
        <w:rPr>
          <w:rFonts w:ascii="仿宋" w:hAnsi="仿宋" w:eastAsia="仿宋"/>
          <w:sz w:val="32"/>
        </w:rPr>
      </w:pPr>
      <w:r>
        <w:rPr>
          <w:rFonts w:hint="eastAsia" w:ascii="仿宋" w:hAnsi="仿宋" w:eastAsia="仿宋"/>
          <w:sz w:val="32"/>
        </w:rPr>
        <w:t>（五）竞买报价单一经提交，不可撤回。</w:t>
      </w:r>
    </w:p>
    <w:p w14:paraId="01B3CA94">
      <w:pPr>
        <w:spacing w:line="540" w:lineRule="exact"/>
        <w:ind w:firstLine="640" w:firstLineChars="200"/>
        <w:rPr>
          <w:rFonts w:ascii="仿宋" w:hAnsi="仿宋" w:eastAsia="仿宋"/>
          <w:sz w:val="32"/>
        </w:rPr>
      </w:pPr>
      <w:r>
        <w:rPr>
          <w:rFonts w:hint="eastAsia" w:ascii="仿宋" w:hAnsi="仿宋" w:eastAsia="仿宋"/>
          <w:sz w:val="32"/>
        </w:rPr>
        <w:t>（六）确定竞得人后，竞得人在公开出让现场与出让人签订《成交确认书》。委托他人代签的，应提交法定代表人亲笔签名并盖章的授权委托书。《成交确认书》对出让人和竞得人具有法律效力，出让人改变公开出让结果的，或者竞得人放弃竞得宗地的，应当承担法律责任。</w:t>
      </w:r>
    </w:p>
    <w:p w14:paraId="7E652F61">
      <w:pPr>
        <w:spacing w:line="540" w:lineRule="exact"/>
        <w:ind w:firstLine="640" w:firstLineChars="200"/>
        <w:rPr>
          <w:rFonts w:ascii="仿宋" w:hAnsi="仿宋" w:eastAsia="仿宋"/>
          <w:sz w:val="32"/>
        </w:rPr>
      </w:pPr>
      <w:r>
        <w:rPr>
          <w:rFonts w:hint="eastAsia" w:ascii="仿宋" w:hAnsi="仿宋" w:eastAsia="仿宋"/>
          <w:color w:val="FF0000"/>
          <w:sz w:val="32"/>
        </w:rPr>
        <w:t>（七）竞得人交纳的竞买保证金，出让成交后转作受让地块的定金</w:t>
      </w:r>
      <w:r>
        <w:rPr>
          <w:rFonts w:hint="eastAsia" w:ascii="仿宋" w:hAnsi="仿宋" w:eastAsia="仿宋"/>
          <w:color w:val="FF0000"/>
          <w:sz w:val="32"/>
          <w:lang w:eastAsia="zh-CN"/>
        </w:rPr>
        <w:t>。</w:t>
      </w:r>
      <w:r>
        <w:rPr>
          <w:rFonts w:hint="eastAsia" w:ascii="仿宋" w:hAnsi="仿宋" w:eastAsia="仿宋"/>
          <w:sz w:val="32"/>
        </w:rPr>
        <w:t>未竞得人交纳的竞买保证金，大冶市公共资源交易中心在出让活动结束后</w:t>
      </w:r>
      <w:r>
        <w:rPr>
          <w:rFonts w:ascii="仿宋" w:hAnsi="仿宋" w:eastAsia="仿宋"/>
          <w:sz w:val="32"/>
        </w:rPr>
        <w:t xml:space="preserve"> 5 </w:t>
      </w:r>
      <w:r>
        <w:rPr>
          <w:rFonts w:hint="eastAsia" w:ascii="仿宋" w:hAnsi="仿宋" w:eastAsia="仿宋"/>
          <w:sz w:val="32"/>
        </w:rPr>
        <w:t>个工作日内予以退还，不计利息。</w:t>
      </w:r>
    </w:p>
    <w:p w14:paraId="406BEF47">
      <w:pPr>
        <w:spacing w:line="540" w:lineRule="exact"/>
        <w:ind w:firstLine="640" w:firstLineChars="200"/>
        <w:rPr>
          <w:rFonts w:ascii="仿宋" w:hAnsi="仿宋" w:eastAsia="仿宋"/>
          <w:sz w:val="32"/>
        </w:rPr>
      </w:pPr>
      <w:r>
        <w:rPr>
          <w:rFonts w:hint="eastAsia" w:ascii="仿宋" w:hAnsi="仿宋" w:eastAsia="仿宋"/>
          <w:sz w:val="32"/>
        </w:rPr>
        <w:t>（八）有下列情形之一的，出让人应当在公开出让开始前终止出让活动，并通知竞买人：</w:t>
      </w:r>
      <w:r>
        <w:rPr>
          <w:rFonts w:ascii="仿宋" w:hAnsi="仿宋" w:eastAsia="仿宋"/>
          <w:sz w:val="32"/>
        </w:rPr>
        <w:t xml:space="preserve"> </w:t>
      </w:r>
    </w:p>
    <w:p w14:paraId="0F50F913">
      <w:pPr>
        <w:spacing w:line="540" w:lineRule="exact"/>
        <w:ind w:firstLine="640" w:firstLineChars="200"/>
        <w:rPr>
          <w:rFonts w:ascii="仿宋" w:hAnsi="仿宋" w:eastAsia="仿宋"/>
          <w:sz w:val="32"/>
        </w:rPr>
      </w:pPr>
      <w:r>
        <w:rPr>
          <w:rFonts w:ascii="仿宋" w:hAnsi="仿宋" w:eastAsia="仿宋"/>
          <w:sz w:val="32"/>
        </w:rPr>
        <w:t>1.</w:t>
      </w:r>
      <w:r>
        <w:rPr>
          <w:rFonts w:hint="eastAsia" w:ascii="仿宋" w:hAnsi="仿宋" w:eastAsia="仿宋"/>
          <w:sz w:val="32"/>
        </w:rPr>
        <w:t>竞买人串通损害国家利益、社会利益或他人合法权益的；</w:t>
      </w:r>
    </w:p>
    <w:p w14:paraId="43062553">
      <w:pPr>
        <w:spacing w:line="540" w:lineRule="exact"/>
        <w:ind w:firstLine="640" w:firstLineChars="200"/>
        <w:rPr>
          <w:rFonts w:ascii="仿宋" w:hAnsi="仿宋" w:eastAsia="仿宋"/>
          <w:sz w:val="32"/>
        </w:rPr>
      </w:pPr>
      <w:r>
        <w:rPr>
          <w:rFonts w:ascii="仿宋" w:hAnsi="仿宋" w:eastAsia="仿宋"/>
          <w:sz w:val="32"/>
        </w:rPr>
        <w:t>2.</w:t>
      </w:r>
      <w:r>
        <w:rPr>
          <w:rFonts w:hint="eastAsia" w:ascii="仿宋" w:hAnsi="仿宋" w:eastAsia="仿宋"/>
          <w:sz w:val="32"/>
        </w:rPr>
        <w:t>出让工作人员私下接触竞买人，足以影响公开出让公正性的；</w:t>
      </w:r>
    </w:p>
    <w:p w14:paraId="141DE1E2">
      <w:pPr>
        <w:spacing w:line="540" w:lineRule="exact"/>
        <w:ind w:firstLine="640" w:firstLineChars="200"/>
        <w:rPr>
          <w:rFonts w:ascii="仿宋" w:hAnsi="仿宋" w:eastAsia="仿宋"/>
          <w:sz w:val="32"/>
        </w:rPr>
      </w:pPr>
      <w:r>
        <w:rPr>
          <w:rFonts w:ascii="仿宋" w:hAnsi="仿宋" w:eastAsia="仿宋"/>
          <w:sz w:val="32"/>
        </w:rPr>
        <w:t>3.</w:t>
      </w:r>
      <w:r>
        <w:rPr>
          <w:rFonts w:hint="eastAsia" w:ascii="仿宋" w:hAnsi="仿宋" w:eastAsia="仿宋"/>
          <w:sz w:val="32"/>
        </w:rPr>
        <w:t>应当依法终止公开出让活动的其他情形。</w:t>
      </w:r>
    </w:p>
    <w:p w14:paraId="1FB17876">
      <w:pPr>
        <w:spacing w:line="540" w:lineRule="exact"/>
        <w:ind w:firstLine="640" w:firstLineChars="200"/>
        <w:rPr>
          <w:rFonts w:ascii="仿宋" w:hAnsi="仿宋" w:eastAsia="仿宋"/>
          <w:sz w:val="32"/>
        </w:rPr>
      </w:pPr>
      <w:r>
        <w:rPr>
          <w:rFonts w:hint="eastAsia" w:ascii="仿宋" w:hAnsi="仿宋" w:eastAsia="仿宋"/>
          <w:sz w:val="32"/>
        </w:rPr>
        <w:t>（九）竞得人有下列行为之一的，视为违约，出让人可取消其竞得人资格，竞买保证金不予退还：</w:t>
      </w:r>
      <w:r>
        <w:rPr>
          <w:rFonts w:ascii="仿宋" w:hAnsi="仿宋" w:eastAsia="仿宋"/>
          <w:sz w:val="32"/>
        </w:rPr>
        <w:t xml:space="preserve"> </w:t>
      </w:r>
    </w:p>
    <w:p w14:paraId="4789B7D8">
      <w:pPr>
        <w:spacing w:line="540" w:lineRule="exact"/>
        <w:ind w:firstLine="640" w:firstLineChars="200"/>
        <w:rPr>
          <w:rFonts w:ascii="仿宋" w:hAnsi="仿宋" w:eastAsia="仿宋"/>
          <w:sz w:val="32"/>
        </w:rPr>
      </w:pPr>
      <w:r>
        <w:rPr>
          <w:rFonts w:ascii="仿宋" w:hAnsi="仿宋" w:eastAsia="仿宋"/>
          <w:sz w:val="32"/>
        </w:rPr>
        <w:t>1.</w:t>
      </w:r>
      <w:r>
        <w:rPr>
          <w:rFonts w:hint="eastAsia" w:ascii="仿宋" w:hAnsi="仿宋" w:eastAsia="仿宋"/>
          <w:sz w:val="32"/>
        </w:rPr>
        <w:t>竞得人逾期或拒绝签订《成交确认书》的；</w:t>
      </w:r>
      <w:r>
        <w:rPr>
          <w:rFonts w:ascii="仿宋" w:hAnsi="仿宋" w:eastAsia="仿宋"/>
          <w:sz w:val="32"/>
        </w:rPr>
        <w:t xml:space="preserve"> </w:t>
      </w:r>
    </w:p>
    <w:p w14:paraId="4093755D">
      <w:pPr>
        <w:spacing w:line="540" w:lineRule="exact"/>
        <w:ind w:firstLine="640" w:firstLineChars="200"/>
        <w:rPr>
          <w:rFonts w:ascii="仿宋" w:hAnsi="仿宋" w:eastAsia="仿宋"/>
          <w:sz w:val="32"/>
        </w:rPr>
      </w:pPr>
      <w:r>
        <w:rPr>
          <w:rFonts w:ascii="仿宋" w:hAnsi="仿宋" w:eastAsia="仿宋"/>
          <w:sz w:val="32"/>
        </w:rPr>
        <w:t>2.</w:t>
      </w:r>
      <w:r>
        <w:rPr>
          <w:rFonts w:hint="eastAsia" w:ascii="仿宋" w:hAnsi="仿宋" w:eastAsia="仿宋"/>
          <w:sz w:val="32"/>
        </w:rPr>
        <w:t>竞得人逾期或拒绝签订</w:t>
      </w:r>
      <w:r>
        <w:rPr>
          <w:rFonts w:hint="eastAsia" w:ascii="仿宋" w:hAnsi="仿宋" w:eastAsia="仿宋"/>
          <w:color w:val="auto"/>
          <w:sz w:val="32"/>
          <w:szCs w:val="32"/>
          <w:lang w:val="en-US" w:eastAsia="zh-CN"/>
        </w:rPr>
        <w:t>《集体经营性</w:t>
      </w:r>
      <w:r>
        <w:rPr>
          <w:rFonts w:hint="eastAsia" w:ascii="仿宋" w:hAnsi="仿宋" w:eastAsia="仿宋"/>
          <w:color w:val="auto"/>
          <w:sz w:val="32"/>
          <w:szCs w:val="32"/>
        </w:rPr>
        <w:t>建设用地使用权出让合同</w:t>
      </w:r>
      <w:r>
        <w:rPr>
          <w:rFonts w:hint="eastAsia" w:ascii="仿宋" w:hAnsi="仿宋" w:eastAsia="仿宋"/>
          <w:color w:val="auto"/>
          <w:sz w:val="32"/>
          <w:szCs w:val="32"/>
          <w:lang w:val="en-US" w:eastAsia="zh-CN"/>
        </w:rPr>
        <w:t>》、《集体经营性</w:t>
      </w:r>
      <w:r>
        <w:rPr>
          <w:rFonts w:hint="eastAsia" w:ascii="仿宋" w:hAnsi="仿宋" w:eastAsia="仿宋"/>
          <w:color w:val="auto"/>
          <w:sz w:val="32"/>
          <w:szCs w:val="32"/>
        </w:rPr>
        <w:t>建设用地使用权出让</w:t>
      </w:r>
      <w:r>
        <w:rPr>
          <w:rFonts w:hint="eastAsia" w:ascii="仿宋" w:hAnsi="仿宋" w:eastAsia="仿宋"/>
          <w:color w:val="auto"/>
          <w:sz w:val="32"/>
          <w:szCs w:val="32"/>
          <w:lang w:val="en-US" w:eastAsia="zh-CN"/>
        </w:rPr>
        <w:t>监管协议》</w:t>
      </w:r>
      <w:r>
        <w:rPr>
          <w:rFonts w:hint="eastAsia" w:ascii="仿宋" w:hAnsi="仿宋" w:eastAsia="仿宋"/>
          <w:sz w:val="32"/>
        </w:rPr>
        <w:t>的。</w:t>
      </w:r>
    </w:p>
    <w:p w14:paraId="087C899E">
      <w:pPr>
        <w:spacing w:line="540" w:lineRule="exact"/>
        <w:ind w:firstLine="640" w:firstLineChars="200"/>
        <w:rPr>
          <w:rFonts w:ascii="仿宋" w:hAnsi="仿宋" w:eastAsia="仿宋"/>
          <w:sz w:val="32"/>
        </w:rPr>
      </w:pPr>
      <w:r>
        <w:rPr>
          <w:rFonts w:hint="eastAsia" w:ascii="仿宋" w:hAnsi="仿宋" w:eastAsia="仿宋"/>
          <w:sz w:val="32"/>
        </w:rPr>
        <w:t>（十）上述宗地出让成交价为宗地的总地价款。</w:t>
      </w:r>
    </w:p>
    <w:p w14:paraId="6F1B894C">
      <w:pPr>
        <w:spacing w:line="540" w:lineRule="exact"/>
        <w:ind w:firstLine="640" w:firstLineChars="200"/>
        <w:rPr>
          <w:rFonts w:ascii="仿宋" w:hAnsi="仿宋" w:eastAsia="仿宋"/>
          <w:sz w:val="32"/>
        </w:rPr>
      </w:pPr>
      <w:r>
        <w:rPr>
          <w:rFonts w:hint="eastAsia" w:ascii="仿宋" w:hAnsi="仿宋" w:eastAsia="仿宋"/>
          <w:sz w:val="32"/>
        </w:rPr>
        <w:t>（十一）竞得人与出让人签订</w:t>
      </w:r>
      <w:r>
        <w:rPr>
          <w:rFonts w:hint="eastAsia" w:ascii="仿宋" w:hAnsi="仿宋" w:eastAsia="仿宋"/>
          <w:color w:val="auto"/>
          <w:sz w:val="32"/>
          <w:szCs w:val="32"/>
          <w:lang w:val="en-US" w:eastAsia="zh-CN"/>
        </w:rPr>
        <w:t>《集体经营性</w:t>
      </w:r>
      <w:r>
        <w:rPr>
          <w:rFonts w:hint="eastAsia" w:ascii="仿宋" w:hAnsi="仿宋" w:eastAsia="仿宋"/>
          <w:color w:val="auto"/>
          <w:sz w:val="32"/>
          <w:szCs w:val="32"/>
        </w:rPr>
        <w:t>建设用地使用权出让合同</w:t>
      </w:r>
      <w:r>
        <w:rPr>
          <w:rFonts w:hint="eastAsia" w:ascii="仿宋" w:hAnsi="仿宋" w:eastAsia="仿宋"/>
          <w:color w:val="auto"/>
          <w:sz w:val="32"/>
          <w:szCs w:val="32"/>
          <w:lang w:val="en-US" w:eastAsia="zh-CN"/>
        </w:rPr>
        <w:t>》</w:t>
      </w:r>
      <w:r>
        <w:rPr>
          <w:rFonts w:hint="eastAsia" w:ascii="仿宋" w:hAnsi="仿宋" w:eastAsia="仿宋"/>
          <w:sz w:val="32"/>
        </w:rPr>
        <w:t>后，应当按出让合同约定支付出让成交价款，</w:t>
      </w:r>
      <w:r>
        <w:rPr>
          <w:rFonts w:hint="eastAsia" w:ascii="仿宋" w:hAnsi="仿宋" w:eastAsia="仿宋"/>
          <w:sz w:val="32"/>
          <w:szCs w:val="32"/>
        </w:rPr>
        <w:t>竞得人不能按时支付</w:t>
      </w:r>
      <w:r>
        <w:rPr>
          <w:rFonts w:hint="eastAsia" w:ascii="仿宋" w:hAnsi="仿宋" w:eastAsia="仿宋"/>
          <w:sz w:val="32"/>
          <w:szCs w:val="32"/>
          <w:lang w:val="en-US" w:eastAsia="zh-CN"/>
        </w:rPr>
        <w:t>农村集体经营性</w:t>
      </w:r>
      <w:r>
        <w:rPr>
          <w:rFonts w:hint="eastAsia" w:ascii="仿宋" w:hAnsi="仿宋" w:eastAsia="仿宋"/>
          <w:sz w:val="32"/>
          <w:szCs w:val="32"/>
        </w:rPr>
        <w:t>建设用地使用权出让价款的，自滞纳之日起，每日按迟延支付款项的</w:t>
      </w:r>
      <w:r>
        <w:rPr>
          <w:rFonts w:ascii="仿宋" w:hAnsi="仿宋" w:eastAsia="仿宋"/>
          <w:sz w:val="32"/>
          <w:szCs w:val="32"/>
        </w:rPr>
        <w:t>1</w:t>
      </w:r>
      <w:r>
        <w:rPr>
          <w:rFonts w:hint="eastAsia" w:ascii="仿宋" w:hAnsi="仿宋" w:eastAsia="仿宋"/>
          <w:sz w:val="32"/>
          <w:szCs w:val="32"/>
        </w:rPr>
        <w:t>‰向出让人缴纳违约金</w:t>
      </w:r>
      <w:r>
        <w:rPr>
          <w:rFonts w:hint="eastAsia" w:ascii="仿宋" w:hAnsi="仿宋" w:eastAsia="仿宋"/>
          <w:sz w:val="32"/>
        </w:rPr>
        <w:t>。竞得人付清全部出让成交价款后，依法申请办理土地登记，领取</w:t>
      </w:r>
      <w:r>
        <w:rPr>
          <w:rFonts w:hint="eastAsia" w:ascii="仿宋" w:hAnsi="仿宋" w:eastAsia="仿宋"/>
          <w:sz w:val="32"/>
          <w:lang w:val="en-US" w:eastAsia="zh-CN"/>
        </w:rPr>
        <w:t>不动产证书</w:t>
      </w:r>
      <w:r>
        <w:rPr>
          <w:rFonts w:hint="eastAsia" w:ascii="仿宋" w:hAnsi="仿宋" w:eastAsia="仿宋"/>
          <w:sz w:val="32"/>
        </w:rPr>
        <w:t>。</w:t>
      </w:r>
    </w:p>
    <w:p w14:paraId="4C9D006B">
      <w:pPr>
        <w:spacing w:line="540" w:lineRule="exact"/>
        <w:ind w:firstLine="640" w:firstLineChars="200"/>
        <w:rPr>
          <w:rFonts w:ascii="仿宋" w:hAnsi="仿宋" w:eastAsia="仿宋"/>
          <w:sz w:val="32"/>
        </w:rPr>
      </w:pPr>
      <w:r>
        <w:rPr>
          <w:rFonts w:hint="eastAsia" w:ascii="仿宋" w:hAnsi="仿宋" w:eastAsia="仿宋"/>
          <w:sz w:val="32"/>
        </w:rPr>
        <w:t>（十二）公开出让不成交的，应当按规定由</w:t>
      </w:r>
      <w:r>
        <w:rPr>
          <w:rFonts w:hint="eastAsia" w:ascii="仿宋" w:hAnsi="仿宋" w:eastAsia="仿宋"/>
          <w:sz w:val="32"/>
          <w:lang w:val="en-US" w:eastAsia="zh-CN"/>
        </w:rPr>
        <w:t>我村</w:t>
      </w:r>
      <w:r>
        <w:rPr>
          <w:rFonts w:hint="eastAsia" w:ascii="仿宋" w:hAnsi="仿宋" w:eastAsia="仿宋"/>
          <w:sz w:val="32"/>
        </w:rPr>
        <w:t>重新组织出让。</w:t>
      </w:r>
    </w:p>
    <w:p w14:paraId="7ED93BD3">
      <w:pPr>
        <w:spacing w:line="540" w:lineRule="exact"/>
        <w:ind w:firstLine="640" w:firstLineChars="200"/>
        <w:rPr>
          <w:rFonts w:ascii="仿宋" w:hAnsi="仿宋" w:eastAsia="仿宋"/>
          <w:sz w:val="32"/>
        </w:rPr>
      </w:pPr>
      <w:r>
        <w:rPr>
          <w:rFonts w:hint="eastAsia" w:ascii="仿宋" w:hAnsi="仿宋" w:eastAsia="仿宋"/>
          <w:sz w:val="32"/>
        </w:rPr>
        <w:t>（十三）参加公开出让活动的人员，应遵守现场的纪律，服从管理人员的管理。</w:t>
      </w:r>
      <w:r>
        <w:rPr>
          <w:rFonts w:ascii="仿宋" w:hAnsi="仿宋" w:eastAsia="仿宋"/>
          <w:sz w:val="32"/>
        </w:rPr>
        <w:t xml:space="preserve">                             </w:t>
      </w:r>
    </w:p>
    <w:p w14:paraId="5A6ECCC2">
      <w:pPr>
        <w:spacing w:line="540" w:lineRule="exact"/>
        <w:ind w:firstLine="640" w:firstLineChars="200"/>
        <w:rPr>
          <w:rFonts w:ascii="仿宋" w:hAnsi="仿宋" w:eastAsia="仿宋"/>
          <w:sz w:val="32"/>
        </w:rPr>
      </w:pPr>
      <w:r>
        <w:rPr>
          <w:rFonts w:hint="eastAsia" w:ascii="仿宋" w:hAnsi="仿宋" w:eastAsia="仿宋"/>
          <w:sz w:val="32"/>
        </w:rPr>
        <w:t>（十四）</w:t>
      </w:r>
      <w:r>
        <w:rPr>
          <w:rFonts w:hint="eastAsia" w:ascii="仿宋" w:hAnsi="仿宋" w:eastAsia="仿宋"/>
          <w:sz w:val="32"/>
          <w:lang w:val="en-US" w:eastAsia="zh-CN"/>
        </w:rPr>
        <w:t>我村</w:t>
      </w:r>
      <w:r>
        <w:rPr>
          <w:rFonts w:hint="eastAsia" w:ascii="仿宋" w:hAnsi="仿宋" w:eastAsia="仿宋"/>
          <w:sz w:val="32"/>
        </w:rPr>
        <w:t>对本《须知》有解释权。未尽事宜</w:t>
      </w:r>
      <w:r>
        <w:rPr>
          <w:rFonts w:hint="eastAsia" w:ascii="仿宋" w:hAnsi="仿宋" w:eastAsia="仿宋"/>
          <w:sz w:val="32"/>
          <w:lang w:val="en-US" w:eastAsia="zh-CN"/>
        </w:rPr>
        <w:t>参</w:t>
      </w:r>
      <w:r>
        <w:rPr>
          <w:rFonts w:hint="eastAsia" w:ascii="仿宋" w:hAnsi="仿宋" w:eastAsia="仿宋"/>
          <w:sz w:val="32"/>
        </w:rPr>
        <w:t>照《招标拍卖挂牌出让国有土地使用权规范</w:t>
      </w:r>
      <w:r>
        <w:rPr>
          <w:rFonts w:ascii="仿宋" w:hAnsi="仿宋" w:eastAsia="仿宋"/>
          <w:sz w:val="32"/>
        </w:rPr>
        <w:t xml:space="preserve"> </w:t>
      </w:r>
      <w:r>
        <w:rPr>
          <w:rFonts w:hint="eastAsia" w:ascii="仿宋" w:hAnsi="仿宋" w:eastAsia="仿宋"/>
          <w:sz w:val="32"/>
        </w:rPr>
        <w:t>》办理。</w:t>
      </w:r>
    </w:p>
    <w:p w14:paraId="75E4B016"/>
    <w:p w14:paraId="23F86FB6">
      <w:pPr>
        <w:spacing w:line="520" w:lineRule="exact"/>
        <w:jc w:val="left"/>
        <w:rPr>
          <w:rFonts w:hint="eastAsia" w:ascii="仿宋_GB2312" w:hAnsi="仿宋_GB2312" w:eastAsia="仿宋_GB2312" w:cs="仿宋_GB2312"/>
          <w:sz w:val="32"/>
          <w:szCs w:val="32"/>
        </w:rPr>
      </w:pPr>
    </w:p>
    <w:p w14:paraId="42B5F322">
      <w:pPr>
        <w:spacing w:line="520" w:lineRule="exact"/>
        <w:ind w:firstLine="1920" w:firstLineChars="600"/>
        <w:rPr>
          <w:rFonts w:ascii="仿宋" w:hAnsi="仿宋" w:eastAsia="仿宋"/>
          <w:color w:val="auto"/>
          <w:sz w:val="32"/>
          <w:szCs w:val="32"/>
        </w:rPr>
      </w:pPr>
      <w:bookmarkStart w:id="0" w:name="_GoBack"/>
      <w:bookmarkEnd w:id="0"/>
      <w:r>
        <w:rPr>
          <w:rFonts w:hint="eastAsia" w:ascii="仿宋_GB2312" w:hAnsi="仿宋_GB2312" w:eastAsia="仿宋_GB2312" w:cs="仿宋_GB2312"/>
          <w:sz w:val="32"/>
          <w:szCs w:val="32"/>
        </w:rPr>
        <w:t xml:space="preserve">出让人: </w:t>
      </w:r>
      <w:r>
        <w:rPr>
          <w:rFonts w:hint="eastAsia" w:ascii="仿宋" w:hAnsi="仿宋" w:eastAsia="仿宋"/>
          <w:color w:val="auto"/>
          <w:sz w:val="32"/>
          <w:szCs w:val="32"/>
        </w:rPr>
        <w:t>大冶市</w:t>
      </w:r>
      <w:r>
        <w:rPr>
          <w:rFonts w:hint="eastAsia" w:ascii="仿宋" w:hAnsi="仿宋" w:eastAsia="仿宋"/>
          <w:color w:val="auto"/>
          <w:sz w:val="32"/>
          <w:szCs w:val="32"/>
          <w:lang w:val="en-US" w:eastAsia="zh-CN"/>
        </w:rPr>
        <w:t>还地桥镇马石村村民委员会</w:t>
      </w:r>
      <w:r>
        <w:rPr>
          <w:rFonts w:ascii="仿宋" w:hAnsi="仿宋" w:eastAsia="仿宋"/>
          <w:color w:val="auto"/>
          <w:sz w:val="32"/>
          <w:szCs w:val="32"/>
        </w:rPr>
        <w:t xml:space="preserve"> </w:t>
      </w:r>
    </w:p>
    <w:p w14:paraId="0BA35729">
      <w:pPr>
        <w:spacing w:line="520" w:lineRule="exact"/>
        <w:ind w:firstLine="2240" w:firstLineChars="700"/>
        <w:rPr>
          <w:rFonts w:hint="eastAsia" w:ascii="仿宋_GB2312" w:hAnsi="仿宋_GB2312" w:eastAsia="仿宋_GB2312" w:cs="仿宋_GB2312"/>
          <w:sz w:val="32"/>
          <w:szCs w:val="32"/>
        </w:rPr>
      </w:pPr>
      <w:r>
        <w:rPr>
          <w:rFonts w:ascii="仿宋" w:hAnsi="仿宋" w:eastAsia="仿宋"/>
          <w:color w:val="auto"/>
          <w:sz w:val="32"/>
          <w:szCs w:val="32"/>
        </w:rPr>
        <w:t xml:space="preserve"> </w:t>
      </w:r>
      <w:r>
        <w:rPr>
          <w:rFonts w:hint="eastAsia" w:ascii="仿宋_GB2312" w:hAnsi="仿宋_GB2312" w:eastAsia="仿宋_GB2312" w:cs="仿宋_GB2312"/>
          <w:sz w:val="32"/>
          <w:szCs w:val="32"/>
        </w:rPr>
        <w:t>挂牌人：大冶市公共资源交易中心</w:t>
      </w:r>
    </w:p>
    <w:p w14:paraId="348FED76">
      <w:pPr>
        <w:spacing w:line="520" w:lineRule="exact"/>
        <w:ind w:firstLine="3840" w:firstLineChars="1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p>
    <w:p w14:paraId="38F799FE">
      <w:pPr>
        <w:spacing w:line="420" w:lineRule="exact"/>
        <w:rPr>
          <w:rFonts w:hint="eastAsia" w:ascii="黑体" w:hAnsi="宋体" w:eastAsia="黑体" w:cs="Times New Roman"/>
          <w:sz w:val="44"/>
          <w:szCs w:val="36"/>
        </w:rPr>
      </w:pPr>
    </w:p>
    <w:p w14:paraId="706F846D">
      <w:pPr>
        <w:spacing w:line="420" w:lineRule="exact"/>
        <w:ind w:firstLine="2640" w:firstLineChars="600"/>
        <w:rPr>
          <w:rFonts w:hint="eastAsia" w:ascii="黑体" w:hAnsi="宋体" w:eastAsia="黑体" w:cs="Times New Roman"/>
          <w:sz w:val="44"/>
          <w:szCs w:val="36"/>
        </w:rPr>
      </w:pPr>
    </w:p>
    <w:p w14:paraId="0B461CF8">
      <w:pPr>
        <w:spacing w:line="420" w:lineRule="exact"/>
        <w:ind w:firstLine="2200" w:firstLineChars="500"/>
        <w:rPr>
          <w:rFonts w:ascii="仿宋_GB2312" w:hAnsi="Times New Roman" w:eastAsia="仿宋_GB2312" w:cs="Times New Roman"/>
          <w:sz w:val="32"/>
          <w:szCs w:val="24"/>
        </w:rPr>
      </w:pPr>
      <w:r>
        <w:rPr>
          <w:rFonts w:hint="eastAsia" w:ascii="黑体" w:hAnsi="宋体" w:eastAsia="黑体" w:cs="Times New Roman"/>
          <w:sz w:val="44"/>
          <w:szCs w:val="36"/>
        </w:rPr>
        <w:t>竞买申请书</w:t>
      </w:r>
    </w:p>
    <w:p w14:paraId="0DD0EB77">
      <w:pPr>
        <w:spacing w:line="500" w:lineRule="exact"/>
        <w:jc w:val="center"/>
        <w:rPr>
          <w:rFonts w:ascii="仿宋" w:hAnsi="仿宋" w:eastAsia="仿宋" w:cs="Times New Roman"/>
          <w:sz w:val="32"/>
          <w:szCs w:val="36"/>
        </w:rPr>
      </w:pPr>
      <w:r>
        <w:fldChar w:fldCharType="begin"/>
      </w:r>
      <w:r>
        <w:instrText xml:space="preserve"> HYPERLINK </w:instrText>
      </w:r>
      <w:r>
        <w:fldChar w:fldCharType="separate"/>
      </w:r>
      <w:r>
        <w:fldChar w:fldCharType="end"/>
      </w:r>
    </w:p>
    <w:p w14:paraId="58E825A7">
      <w:pPr>
        <w:spacing w:line="460" w:lineRule="exact"/>
        <w:rPr>
          <w:rFonts w:ascii="仿宋" w:hAnsi="仿宋" w:eastAsia="仿宋" w:cs="Times New Roman"/>
          <w:sz w:val="32"/>
          <w:szCs w:val="32"/>
        </w:rPr>
      </w:pPr>
      <w:r>
        <w:rPr>
          <w:rFonts w:hint="eastAsia" w:ascii="仿宋" w:hAnsi="仿宋" w:eastAsia="仿宋" w:cs="Times New Roman"/>
          <w:sz w:val="32"/>
          <w:szCs w:val="32"/>
        </w:rPr>
        <w:t>大冶市公共资源交易中心：</w:t>
      </w:r>
    </w:p>
    <w:p w14:paraId="71237182">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经认真阅读编号为</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号地块的挂牌出让文件，我方完全接受并愿意遵守你中心</w:t>
      </w:r>
      <w:r>
        <w:rPr>
          <w:rFonts w:hint="eastAsia" w:ascii="仿宋" w:hAnsi="仿宋" w:eastAsia="仿宋" w:cs="仿宋"/>
          <w:sz w:val="32"/>
          <w:szCs w:val="32"/>
          <w:lang w:val="en-US" w:eastAsia="zh-CN"/>
        </w:rPr>
        <w:t>农村集体经营性</w:t>
      </w:r>
      <w:r>
        <w:rPr>
          <w:rFonts w:hint="eastAsia" w:ascii="仿宋" w:hAnsi="仿宋" w:eastAsia="仿宋" w:cs="Times New Roman"/>
          <w:sz w:val="32"/>
          <w:szCs w:val="32"/>
        </w:rPr>
        <w:t>建设用地使用权挂牌出让文件中的规定和要求，对所有文件均无异议。</w:t>
      </w:r>
    </w:p>
    <w:p w14:paraId="62AD0F8A">
      <w:pPr>
        <w:spacing w:line="460" w:lineRule="exact"/>
        <w:ind w:firstLine="640" w:firstLineChars="200"/>
        <w:rPr>
          <w:rFonts w:hint="eastAsia" w:ascii="仿宋" w:hAnsi="仿宋" w:eastAsia="仿宋" w:cs="Times New Roman"/>
          <w:sz w:val="32"/>
          <w:szCs w:val="32"/>
          <w:u w:val="single"/>
          <w:lang w:val="en-US" w:eastAsia="zh-CN"/>
        </w:rPr>
      </w:pPr>
      <w:r>
        <w:rPr>
          <w:rFonts w:hint="eastAsia" w:ascii="仿宋" w:hAnsi="仿宋" w:eastAsia="仿宋" w:cs="Times New Roman"/>
          <w:sz w:val="32"/>
          <w:szCs w:val="32"/>
        </w:rPr>
        <w:t>我方现正式申请参加你中心于</w:t>
      </w:r>
      <w:r>
        <w:rPr>
          <w:rFonts w:hint="eastAsia" w:ascii="仿宋" w:hAnsi="仿宋" w:eastAsia="仿宋" w:cs="Times New Roman"/>
          <w:sz w:val="32"/>
          <w:szCs w:val="32"/>
          <w:u w:val="single"/>
          <w:lang w:val="en-US" w:eastAsia="zh-CN"/>
        </w:rPr>
        <w:t>2026</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4</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1</w:t>
      </w:r>
      <w:r>
        <w:rPr>
          <w:rFonts w:hint="eastAsia" w:ascii="仿宋" w:hAnsi="仿宋" w:eastAsia="仿宋" w:cs="Times New Roman"/>
          <w:sz w:val="32"/>
          <w:szCs w:val="32"/>
        </w:rPr>
        <w:t>日至</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2026</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4</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14</w:t>
      </w:r>
      <w:r>
        <w:rPr>
          <w:rFonts w:hint="eastAsia" w:ascii="仿宋" w:hAnsi="仿宋" w:eastAsia="仿宋" w:cs="Times New Roman"/>
          <w:sz w:val="32"/>
          <w:szCs w:val="32"/>
        </w:rPr>
        <w:t>日在大冶市公共资源交易中心举行的</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u w:val="none"/>
          <w:lang w:val="en-US" w:eastAsia="zh-CN"/>
        </w:rPr>
        <w:t>号</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w:t>
      </w:r>
    </w:p>
    <w:p w14:paraId="44DAD2DB">
      <w:pPr>
        <w:spacing w:line="460" w:lineRule="exact"/>
        <w:rPr>
          <w:rFonts w:hint="eastAsia" w:ascii="仿宋" w:hAnsi="仿宋" w:eastAsia="仿宋" w:cs="Times New Roman"/>
          <w:sz w:val="32"/>
          <w:szCs w:val="32"/>
        </w:rPr>
      </w:pPr>
      <w:r>
        <w:rPr>
          <w:rFonts w:hint="eastAsia" w:ascii="仿宋" w:hAnsi="仿宋" w:eastAsia="仿宋" w:cs="Times New Roman"/>
          <w:sz w:val="32"/>
          <w:szCs w:val="32"/>
        </w:rPr>
        <w:t>地块</w:t>
      </w:r>
      <w:r>
        <w:rPr>
          <w:rFonts w:hint="eastAsia" w:ascii="仿宋" w:hAnsi="仿宋" w:eastAsia="仿宋" w:cs="仿宋"/>
          <w:sz w:val="32"/>
          <w:szCs w:val="32"/>
          <w:lang w:val="en-US" w:eastAsia="zh-CN"/>
        </w:rPr>
        <w:t>农村集体经营性</w:t>
      </w:r>
      <w:r>
        <w:rPr>
          <w:rFonts w:hint="eastAsia" w:ascii="仿宋" w:hAnsi="仿宋" w:eastAsia="仿宋" w:cs="Times New Roman"/>
          <w:sz w:val="32"/>
          <w:szCs w:val="32"/>
        </w:rPr>
        <w:t>建设用地使用权挂牌出让活动。</w:t>
      </w:r>
    </w:p>
    <w:p w14:paraId="374256B1">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我方愿意按挂牌出让文件规定，交纳竞买保证金人民币大写</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（小写￥:</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元）。</w:t>
      </w:r>
    </w:p>
    <w:p w14:paraId="784E536B">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若能竞得该地块，我方保证按照</w:t>
      </w:r>
      <w:r>
        <w:rPr>
          <w:rFonts w:hint="eastAsia" w:ascii="仿宋" w:hAnsi="仿宋" w:eastAsia="仿宋" w:cs="仿宋"/>
          <w:sz w:val="32"/>
          <w:szCs w:val="32"/>
          <w:lang w:val="en-US" w:eastAsia="zh-CN"/>
        </w:rPr>
        <w:t>农村集体经营性</w:t>
      </w:r>
      <w:r>
        <w:rPr>
          <w:rFonts w:hint="eastAsia" w:ascii="仿宋" w:hAnsi="仿宋" w:eastAsia="仿宋" w:cs="Times New Roman"/>
          <w:sz w:val="32"/>
          <w:szCs w:val="32"/>
        </w:rPr>
        <w:t>建设用地使用权挂牌出让文件的规定和要求履行全部义务。</w:t>
      </w:r>
    </w:p>
    <w:p w14:paraId="059355FD">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若我方在</w:t>
      </w:r>
      <w:r>
        <w:rPr>
          <w:rFonts w:hint="eastAsia" w:ascii="仿宋" w:hAnsi="仿宋" w:eastAsia="仿宋" w:cs="仿宋"/>
          <w:sz w:val="32"/>
          <w:szCs w:val="32"/>
          <w:lang w:val="en-US" w:eastAsia="zh-CN"/>
        </w:rPr>
        <w:t>农村集体经营性</w:t>
      </w:r>
      <w:r>
        <w:rPr>
          <w:rFonts w:hint="eastAsia" w:ascii="仿宋" w:hAnsi="仿宋" w:eastAsia="仿宋" w:cs="Times New Roman"/>
          <w:sz w:val="32"/>
          <w:szCs w:val="32"/>
        </w:rPr>
        <w:t>建设用地使用权挂牌出让活动中，出现不能按期付款或有其他违约行为，我方愿意承担全部法律责任，并赔偿由此产生的损失。</w:t>
      </w:r>
    </w:p>
    <w:p w14:paraId="7F2B3DF7">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特此申请和承诺。</w:t>
      </w:r>
    </w:p>
    <w:p w14:paraId="6CCB651C">
      <w:pPr>
        <w:spacing w:line="460" w:lineRule="exact"/>
        <w:ind w:firstLine="640" w:firstLineChars="200"/>
        <w:rPr>
          <w:rFonts w:ascii="仿宋" w:hAnsi="仿宋" w:eastAsia="仿宋" w:cs="Times New Roman"/>
          <w:sz w:val="32"/>
          <w:szCs w:val="32"/>
        </w:rPr>
      </w:pPr>
    </w:p>
    <w:p w14:paraId="529B7D08">
      <w:pPr>
        <w:spacing w:line="460" w:lineRule="exact"/>
        <w:ind w:firstLine="640" w:firstLineChars="200"/>
        <w:rPr>
          <w:rFonts w:hint="eastAsia" w:ascii="仿宋" w:hAnsi="仿宋" w:eastAsia="仿宋" w:cs="Times New Roman"/>
          <w:sz w:val="32"/>
          <w:szCs w:val="32"/>
          <w:u w:val="single"/>
          <w:lang w:val="en-US" w:eastAsia="zh-CN"/>
        </w:rPr>
      </w:pPr>
      <w:r>
        <w:rPr>
          <w:rFonts w:hint="eastAsia" w:ascii="仿宋" w:hAnsi="仿宋" w:eastAsia="仿宋" w:cs="Times New Roman"/>
          <w:sz w:val="32"/>
          <w:szCs w:val="32"/>
        </w:rPr>
        <w:t>申 请 人：（加盖公章）</w:t>
      </w:r>
      <w:r>
        <w:rPr>
          <w:rFonts w:hint="eastAsia" w:ascii="仿宋" w:hAnsi="仿宋" w:eastAsia="仿宋" w:cs="Times New Roman"/>
          <w:sz w:val="24"/>
          <w:szCs w:val="24"/>
          <w:u w:val="single"/>
          <w:lang w:val="en-US" w:eastAsia="zh-CN"/>
        </w:rPr>
        <w:t xml:space="preserve">  </w:t>
      </w:r>
      <w:r>
        <w:rPr>
          <w:rFonts w:hint="eastAsia" w:ascii="仿宋" w:hAnsi="仿宋" w:eastAsia="仿宋" w:cs="Times New Roman"/>
          <w:sz w:val="32"/>
          <w:szCs w:val="32"/>
          <w:u w:val="single"/>
          <w:lang w:val="en-US" w:eastAsia="zh-CN"/>
        </w:rPr>
        <w:t xml:space="preserve">                         </w:t>
      </w:r>
    </w:p>
    <w:p w14:paraId="76EF745D">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法定代表人（或授权委托代理人）签名：</w:t>
      </w:r>
      <w:r>
        <w:rPr>
          <w:rFonts w:hint="eastAsia" w:ascii="仿宋" w:hAnsi="仿宋" w:eastAsia="仿宋" w:cs="Times New Roman"/>
          <w:sz w:val="32"/>
          <w:szCs w:val="32"/>
          <w:u w:val="single"/>
          <w:lang w:val="en-US" w:eastAsia="zh-CN"/>
        </w:rPr>
        <w:t xml:space="preserve">          </w:t>
      </w:r>
    </w:p>
    <w:p w14:paraId="2F9E77AB">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联 系 人：</w:t>
      </w:r>
      <w:r>
        <w:rPr>
          <w:rFonts w:hint="eastAsia" w:ascii="仿宋" w:hAnsi="仿宋" w:eastAsia="仿宋" w:cs="Times New Roman"/>
          <w:sz w:val="32"/>
          <w:szCs w:val="32"/>
          <w:u w:val="single"/>
          <w:lang w:val="en-US" w:eastAsia="zh-CN"/>
        </w:rPr>
        <w:t xml:space="preserve">               </w:t>
      </w:r>
    </w:p>
    <w:p w14:paraId="7F452C27">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电    话：</w:t>
      </w:r>
      <w:r>
        <w:rPr>
          <w:rFonts w:hint="eastAsia" w:ascii="仿宋" w:hAnsi="仿宋" w:eastAsia="仿宋" w:cs="Times New Roman"/>
          <w:sz w:val="32"/>
          <w:szCs w:val="32"/>
          <w:u w:val="single"/>
          <w:lang w:val="en-US" w:eastAsia="zh-CN"/>
        </w:rPr>
        <w:t xml:space="preserve">               </w:t>
      </w:r>
    </w:p>
    <w:p w14:paraId="27481F4F">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申请日期：</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日</w:t>
      </w:r>
    </w:p>
    <w:p w14:paraId="0A381858">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附件：</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u w:val="single"/>
          <w:lang w:val="en-US" w:eastAsia="zh-CN"/>
        </w:rPr>
        <w:t>营业执照复印件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5A1629FE">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2、</w:t>
      </w:r>
      <w:r>
        <w:rPr>
          <w:rFonts w:hint="eastAsia" w:ascii="仿宋" w:hAnsi="仿宋" w:eastAsia="仿宋" w:cs="Times New Roman"/>
          <w:sz w:val="32"/>
          <w:szCs w:val="32"/>
          <w:u w:val="single"/>
          <w:lang w:val="en-US" w:eastAsia="zh-CN"/>
        </w:rPr>
        <w:t>法人身份证复印件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7B01C2DB">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3、</w:t>
      </w:r>
      <w:r>
        <w:rPr>
          <w:rFonts w:hint="eastAsia" w:ascii="仿宋" w:hAnsi="仿宋" w:eastAsia="仿宋" w:cs="Times New Roman"/>
          <w:sz w:val="32"/>
          <w:szCs w:val="32"/>
          <w:u w:val="single"/>
          <w:lang w:val="en-US" w:eastAsia="zh-CN"/>
        </w:rPr>
        <w:t>报价单</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2F734AA3">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4、</w:t>
      </w:r>
      <w:r>
        <w:rPr>
          <w:rFonts w:hint="eastAsia" w:ascii="仿宋" w:hAnsi="仿宋" w:eastAsia="仿宋" w:cs="Times New Roman"/>
          <w:sz w:val="32"/>
          <w:szCs w:val="32"/>
          <w:u w:val="single"/>
          <w:lang w:val="en-US" w:eastAsia="zh-CN"/>
        </w:rPr>
        <w:t>保证金凭证</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5E9435B9">
      <w:pPr>
        <w:spacing w:line="460" w:lineRule="exact"/>
        <w:ind w:firstLine="1600" w:firstLineChars="500"/>
        <w:rPr>
          <w:rFonts w:hint="eastAsia" w:ascii="黑体" w:hAnsi="宋体" w:eastAsia="黑体" w:cs="Times New Roman"/>
          <w:sz w:val="44"/>
          <w:szCs w:val="36"/>
        </w:rPr>
      </w:pPr>
      <w:r>
        <w:rPr>
          <w:rFonts w:hint="eastAsia" w:ascii="仿宋" w:hAnsi="仿宋" w:eastAsia="仿宋" w:cs="Times New Roman"/>
          <w:sz w:val="32"/>
          <w:szCs w:val="32"/>
        </w:rPr>
        <w:t>5、</w:t>
      </w:r>
      <w:r>
        <w:rPr>
          <w:rFonts w:hint="eastAsia" w:ascii="仿宋" w:hAnsi="仿宋" w:eastAsia="仿宋" w:cs="Times New Roman"/>
          <w:sz w:val="32"/>
          <w:szCs w:val="32"/>
          <w:u w:val="single"/>
          <w:lang w:val="en-US" w:eastAsia="zh-CN"/>
        </w:rPr>
        <w:t>信用中国</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6246DE6D">
      <w:pPr>
        <w:spacing w:line="460" w:lineRule="exact"/>
        <w:ind w:firstLine="2640" w:firstLineChars="600"/>
        <w:rPr>
          <w:rFonts w:hint="eastAsia" w:ascii="黑体" w:hAnsi="宋体" w:eastAsia="黑体" w:cs="Times New Roman"/>
          <w:sz w:val="44"/>
          <w:szCs w:val="36"/>
        </w:rPr>
      </w:pPr>
    </w:p>
    <w:p w14:paraId="6D8057AD">
      <w:pPr>
        <w:spacing w:line="460" w:lineRule="exact"/>
        <w:ind w:firstLine="2640" w:firstLineChars="600"/>
        <w:rPr>
          <w:rFonts w:hint="eastAsia" w:ascii="黑体" w:hAnsi="宋体" w:eastAsia="黑体" w:cs="Times New Roman"/>
          <w:sz w:val="44"/>
          <w:szCs w:val="36"/>
        </w:rPr>
      </w:pPr>
    </w:p>
    <w:p w14:paraId="5605FFC9">
      <w:pPr>
        <w:spacing w:line="460" w:lineRule="exact"/>
        <w:ind w:firstLine="2640" w:firstLineChars="600"/>
        <w:rPr>
          <w:rFonts w:ascii="黑体" w:hAnsi="宋体" w:eastAsia="黑体" w:cs="Times New Roman"/>
          <w:sz w:val="44"/>
          <w:szCs w:val="36"/>
        </w:rPr>
      </w:pPr>
      <w:r>
        <w:rPr>
          <w:rFonts w:hint="eastAsia" w:ascii="黑体" w:hAnsi="宋体" w:eastAsia="黑体" w:cs="Times New Roman"/>
          <w:sz w:val="44"/>
          <w:szCs w:val="36"/>
        </w:rPr>
        <w:t>授 权 委 托 书</w:t>
      </w:r>
    </w:p>
    <w:p w14:paraId="3D4D38DD">
      <w:pPr>
        <w:spacing w:line="600" w:lineRule="exact"/>
        <w:jc w:val="center"/>
        <w:rPr>
          <w:rFonts w:ascii="仿宋_GB2312" w:hAnsi="Times New Roman" w:eastAsia="仿宋_GB2312" w:cs="Times New Roman"/>
          <w:sz w:val="32"/>
          <w:szCs w:val="36"/>
          <w:u w:val="single"/>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1"/>
        <w:gridCol w:w="900"/>
        <w:gridCol w:w="2655"/>
        <w:gridCol w:w="1628"/>
        <w:gridCol w:w="2804"/>
      </w:tblGrid>
      <w:tr w14:paraId="55EDA5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316" w:type="dxa"/>
            <w:gridSpan w:val="3"/>
            <w:tcBorders>
              <w:top w:val="single" w:color="auto" w:sz="8" w:space="0"/>
              <w:left w:val="single" w:color="auto" w:sz="8" w:space="0"/>
              <w:bottom w:val="single" w:color="auto" w:sz="4" w:space="0"/>
              <w:right w:val="single" w:color="auto" w:sz="4" w:space="0"/>
            </w:tcBorders>
          </w:tcPr>
          <w:p w14:paraId="5A522E3C">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委托人</w:t>
            </w:r>
          </w:p>
        </w:tc>
        <w:tc>
          <w:tcPr>
            <w:tcW w:w="4432" w:type="dxa"/>
            <w:gridSpan w:val="2"/>
            <w:tcBorders>
              <w:top w:val="single" w:color="auto" w:sz="8" w:space="0"/>
              <w:left w:val="single" w:color="auto" w:sz="4" w:space="0"/>
              <w:bottom w:val="single" w:color="auto" w:sz="4" w:space="0"/>
              <w:right w:val="single" w:color="auto" w:sz="8" w:space="0"/>
            </w:tcBorders>
          </w:tcPr>
          <w:p w14:paraId="55FE3904">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受托人</w:t>
            </w:r>
          </w:p>
        </w:tc>
      </w:tr>
      <w:tr w14:paraId="0C245E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5CB23F7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655" w:type="dxa"/>
            <w:tcBorders>
              <w:top w:val="single" w:color="auto" w:sz="4" w:space="0"/>
              <w:left w:val="single" w:color="auto" w:sz="4" w:space="0"/>
              <w:bottom w:val="single" w:color="auto" w:sz="4" w:space="0"/>
              <w:right w:val="single" w:color="auto" w:sz="4" w:space="0"/>
            </w:tcBorders>
          </w:tcPr>
          <w:p w14:paraId="65971344">
            <w:pPr>
              <w:spacing w:line="600" w:lineRule="exact"/>
              <w:rPr>
                <w:rFonts w:hint="default" w:ascii="仿宋" w:hAnsi="仿宋" w:eastAsia="仿宋" w:cs="Times New Roman"/>
                <w:sz w:val="32"/>
                <w:szCs w:val="24"/>
                <w:lang w:val="en-US"/>
              </w:rPr>
            </w:pPr>
          </w:p>
        </w:tc>
        <w:tc>
          <w:tcPr>
            <w:tcW w:w="1628" w:type="dxa"/>
            <w:tcBorders>
              <w:top w:val="single" w:color="auto" w:sz="4" w:space="0"/>
              <w:left w:val="single" w:color="auto" w:sz="4" w:space="0"/>
              <w:bottom w:val="single" w:color="auto" w:sz="4" w:space="0"/>
              <w:right w:val="single" w:color="auto" w:sz="4" w:space="0"/>
            </w:tcBorders>
            <w:vAlign w:val="center"/>
          </w:tcPr>
          <w:p w14:paraId="2D8F8333">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804" w:type="dxa"/>
            <w:tcBorders>
              <w:top w:val="single" w:color="auto" w:sz="4" w:space="0"/>
              <w:left w:val="single" w:color="auto" w:sz="4" w:space="0"/>
              <w:bottom w:val="single" w:color="auto" w:sz="4" w:space="0"/>
              <w:right w:val="single" w:color="auto" w:sz="8" w:space="0"/>
            </w:tcBorders>
          </w:tcPr>
          <w:p w14:paraId="08356ADF">
            <w:pPr>
              <w:spacing w:line="600" w:lineRule="exact"/>
              <w:rPr>
                <w:rFonts w:hint="default" w:ascii="仿宋" w:hAnsi="仿宋" w:eastAsia="仿宋" w:cs="Times New Roman"/>
                <w:sz w:val="24"/>
                <w:szCs w:val="24"/>
                <w:lang w:val="en-US" w:eastAsia="zh-CN"/>
              </w:rPr>
            </w:pPr>
          </w:p>
        </w:tc>
      </w:tr>
      <w:tr w14:paraId="654DE9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2A3EA2F4">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655" w:type="dxa"/>
            <w:tcBorders>
              <w:top w:val="single" w:color="auto" w:sz="4" w:space="0"/>
              <w:left w:val="single" w:color="auto" w:sz="4" w:space="0"/>
              <w:bottom w:val="single" w:color="auto" w:sz="4" w:space="0"/>
              <w:right w:val="single" w:color="auto" w:sz="4" w:space="0"/>
            </w:tcBorders>
          </w:tcPr>
          <w:p w14:paraId="1BFBDE84">
            <w:pPr>
              <w:spacing w:line="600" w:lineRule="exact"/>
              <w:rPr>
                <w:rFonts w:hint="eastAsia"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79D41891">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804" w:type="dxa"/>
            <w:tcBorders>
              <w:top w:val="single" w:color="auto" w:sz="4" w:space="0"/>
              <w:left w:val="single" w:color="auto" w:sz="4" w:space="0"/>
              <w:bottom w:val="single" w:color="auto" w:sz="4" w:space="0"/>
              <w:right w:val="single" w:color="auto" w:sz="8" w:space="0"/>
            </w:tcBorders>
          </w:tcPr>
          <w:p w14:paraId="475C25F3">
            <w:pPr>
              <w:spacing w:line="600" w:lineRule="exact"/>
              <w:rPr>
                <w:rFonts w:hint="eastAsia" w:ascii="仿宋" w:hAnsi="仿宋" w:eastAsia="仿宋" w:cs="Times New Roman"/>
                <w:sz w:val="24"/>
                <w:szCs w:val="24"/>
                <w:lang w:val="en-US" w:eastAsia="zh-CN"/>
              </w:rPr>
            </w:pPr>
          </w:p>
        </w:tc>
      </w:tr>
      <w:tr w14:paraId="47D89C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1D01DB2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655" w:type="dxa"/>
            <w:tcBorders>
              <w:top w:val="single" w:color="auto" w:sz="4" w:space="0"/>
              <w:left w:val="single" w:color="auto" w:sz="4" w:space="0"/>
              <w:bottom w:val="single" w:color="auto" w:sz="4" w:space="0"/>
              <w:right w:val="single" w:color="auto" w:sz="4" w:space="0"/>
            </w:tcBorders>
          </w:tcPr>
          <w:p w14:paraId="1ED4367B">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0D6CC1C4">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804" w:type="dxa"/>
            <w:tcBorders>
              <w:top w:val="single" w:color="auto" w:sz="4" w:space="0"/>
              <w:left w:val="single" w:color="auto" w:sz="4" w:space="0"/>
              <w:bottom w:val="single" w:color="auto" w:sz="4" w:space="0"/>
              <w:right w:val="single" w:color="auto" w:sz="8" w:space="0"/>
            </w:tcBorders>
          </w:tcPr>
          <w:p w14:paraId="0C6AEA66">
            <w:pPr>
              <w:spacing w:line="600" w:lineRule="exact"/>
              <w:rPr>
                <w:rFonts w:hint="default" w:ascii="仿宋" w:hAnsi="仿宋" w:eastAsia="仿宋" w:cs="Times New Roman"/>
                <w:sz w:val="24"/>
                <w:szCs w:val="24"/>
                <w:lang w:val="en-US" w:eastAsia="zh-CN"/>
              </w:rPr>
            </w:pPr>
          </w:p>
        </w:tc>
      </w:tr>
      <w:tr w14:paraId="5C86C4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4B3CF7EA">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655" w:type="dxa"/>
            <w:tcBorders>
              <w:top w:val="single" w:color="auto" w:sz="4" w:space="0"/>
              <w:left w:val="single" w:color="auto" w:sz="4" w:space="0"/>
              <w:bottom w:val="single" w:color="auto" w:sz="4" w:space="0"/>
              <w:right w:val="single" w:color="auto" w:sz="4" w:space="0"/>
            </w:tcBorders>
          </w:tcPr>
          <w:p w14:paraId="427B3A75">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34C4E74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804" w:type="dxa"/>
            <w:tcBorders>
              <w:top w:val="single" w:color="auto" w:sz="4" w:space="0"/>
              <w:left w:val="single" w:color="auto" w:sz="4" w:space="0"/>
              <w:bottom w:val="single" w:color="auto" w:sz="4" w:space="0"/>
              <w:right w:val="single" w:color="auto" w:sz="8" w:space="0"/>
            </w:tcBorders>
          </w:tcPr>
          <w:p w14:paraId="497ECB5E">
            <w:pPr>
              <w:spacing w:line="600" w:lineRule="exact"/>
              <w:rPr>
                <w:rFonts w:hint="eastAsia" w:ascii="仿宋" w:hAnsi="仿宋" w:eastAsia="仿宋" w:cs="Times New Roman"/>
                <w:sz w:val="24"/>
                <w:szCs w:val="24"/>
                <w:lang w:val="en-US" w:eastAsia="zh-CN"/>
              </w:rPr>
            </w:pPr>
          </w:p>
        </w:tc>
      </w:tr>
      <w:tr w14:paraId="60DF5E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21B828C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655" w:type="dxa"/>
            <w:tcBorders>
              <w:top w:val="single" w:color="auto" w:sz="4" w:space="0"/>
              <w:left w:val="single" w:color="auto" w:sz="4" w:space="0"/>
              <w:bottom w:val="single" w:color="auto" w:sz="4" w:space="0"/>
              <w:right w:val="single" w:color="auto" w:sz="4" w:space="0"/>
            </w:tcBorders>
          </w:tcPr>
          <w:p w14:paraId="2C8DD56A">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2AC150A8">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804" w:type="dxa"/>
            <w:tcBorders>
              <w:top w:val="single" w:color="auto" w:sz="4" w:space="0"/>
              <w:left w:val="single" w:color="auto" w:sz="4" w:space="0"/>
              <w:bottom w:val="single" w:color="auto" w:sz="4" w:space="0"/>
              <w:right w:val="single" w:color="auto" w:sz="8" w:space="0"/>
            </w:tcBorders>
          </w:tcPr>
          <w:p w14:paraId="51E449BA">
            <w:pPr>
              <w:spacing w:line="600" w:lineRule="exact"/>
              <w:rPr>
                <w:rFonts w:hint="default" w:ascii="仿宋" w:hAnsi="仿宋" w:eastAsia="仿宋" w:cs="Times New Roman"/>
                <w:sz w:val="24"/>
                <w:szCs w:val="24"/>
                <w:lang w:val="en-US" w:eastAsia="zh-CN"/>
              </w:rPr>
            </w:pPr>
          </w:p>
        </w:tc>
      </w:tr>
      <w:tr w14:paraId="5BA595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restart"/>
            <w:tcBorders>
              <w:top w:val="single" w:color="auto" w:sz="4" w:space="0"/>
              <w:left w:val="single" w:color="auto" w:sz="8" w:space="0"/>
              <w:bottom w:val="single" w:color="auto" w:sz="4" w:space="0"/>
              <w:right w:val="single" w:color="auto" w:sz="4" w:space="0"/>
            </w:tcBorders>
            <w:vAlign w:val="center"/>
          </w:tcPr>
          <w:p w14:paraId="365C61B5">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655" w:type="dxa"/>
            <w:tcBorders>
              <w:top w:val="single" w:color="auto" w:sz="4" w:space="0"/>
              <w:left w:val="single" w:color="auto" w:sz="4" w:space="0"/>
              <w:bottom w:val="single" w:color="auto" w:sz="4" w:space="0"/>
              <w:right w:val="single" w:color="auto" w:sz="4" w:space="0"/>
            </w:tcBorders>
          </w:tcPr>
          <w:p w14:paraId="1785DB32">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c>
          <w:tcPr>
            <w:tcW w:w="1628" w:type="dxa"/>
            <w:vMerge w:val="restart"/>
            <w:tcBorders>
              <w:top w:val="single" w:color="auto" w:sz="4" w:space="0"/>
              <w:left w:val="single" w:color="auto" w:sz="4" w:space="0"/>
              <w:bottom w:val="single" w:color="auto" w:sz="4" w:space="0"/>
              <w:right w:val="single" w:color="auto" w:sz="4" w:space="0"/>
            </w:tcBorders>
            <w:vAlign w:val="center"/>
          </w:tcPr>
          <w:p w14:paraId="01DAADEF">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804" w:type="dxa"/>
            <w:tcBorders>
              <w:top w:val="single" w:color="auto" w:sz="4" w:space="0"/>
              <w:left w:val="single" w:color="auto" w:sz="4" w:space="0"/>
              <w:bottom w:val="single" w:color="auto" w:sz="4" w:space="0"/>
              <w:right w:val="single" w:color="auto" w:sz="8" w:space="0"/>
            </w:tcBorders>
          </w:tcPr>
          <w:p w14:paraId="0E02F81B">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r>
      <w:tr w14:paraId="1EAA9B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continue"/>
            <w:tcBorders>
              <w:top w:val="single" w:color="auto" w:sz="4" w:space="0"/>
              <w:left w:val="single" w:color="auto" w:sz="8" w:space="0"/>
              <w:bottom w:val="single" w:color="auto" w:sz="4" w:space="0"/>
              <w:right w:val="single" w:color="auto" w:sz="4" w:space="0"/>
            </w:tcBorders>
            <w:vAlign w:val="center"/>
          </w:tcPr>
          <w:p w14:paraId="61E2359B">
            <w:pPr>
              <w:widowControl/>
              <w:jc w:val="left"/>
              <w:rPr>
                <w:rFonts w:ascii="仿宋" w:hAnsi="仿宋" w:eastAsia="仿宋" w:cs="Times New Roman"/>
                <w:sz w:val="32"/>
                <w:szCs w:val="24"/>
              </w:rPr>
            </w:pPr>
          </w:p>
        </w:tc>
        <w:tc>
          <w:tcPr>
            <w:tcW w:w="2655" w:type="dxa"/>
            <w:tcBorders>
              <w:top w:val="single" w:color="auto" w:sz="4" w:space="0"/>
              <w:left w:val="single" w:color="auto" w:sz="4" w:space="0"/>
              <w:bottom w:val="single" w:color="auto" w:sz="4" w:space="0"/>
              <w:right w:val="single" w:color="auto" w:sz="4" w:space="0"/>
            </w:tcBorders>
          </w:tcPr>
          <w:p w14:paraId="58C197D9">
            <w:pPr>
              <w:spacing w:line="600" w:lineRule="exact"/>
              <w:rPr>
                <w:rFonts w:hint="default" w:ascii="仿宋" w:hAnsi="仿宋" w:eastAsia="仿宋" w:cs="Times New Roman"/>
                <w:sz w:val="32"/>
                <w:szCs w:val="24"/>
                <w:lang w:val="en-US"/>
              </w:rPr>
            </w:pPr>
          </w:p>
        </w:tc>
        <w:tc>
          <w:tcPr>
            <w:tcW w:w="1628" w:type="dxa"/>
            <w:vMerge w:val="continue"/>
            <w:tcBorders>
              <w:top w:val="single" w:color="auto" w:sz="4" w:space="0"/>
              <w:left w:val="single" w:color="auto" w:sz="4" w:space="0"/>
              <w:bottom w:val="single" w:color="auto" w:sz="4" w:space="0"/>
              <w:right w:val="single" w:color="auto" w:sz="4" w:space="0"/>
            </w:tcBorders>
            <w:vAlign w:val="center"/>
          </w:tcPr>
          <w:p w14:paraId="0D87B4C1">
            <w:pPr>
              <w:widowControl/>
              <w:jc w:val="left"/>
              <w:rPr>
                <w:rFonts w:ascii="仿宋" w:hAnsi="仿宋" w:eastAsia="仿宋" w:cs="Times New Roman"/>
                <w:sz w:val="32"/>
                <w:szCs w:val="24"/>
              </w:rPr>
            </w:pPr>
          </w:p>
        </w:tc>
        <w:tc>
          <w:tcPr>
            <w:tcW w:w="2804" w:type="dxa"/>
            <w:tcBorders>
              <w:top w:val="single" w:color="auto" w:sz="4" w:space="0"/>
              <w:left w:val="single" w:color="auto" w:sz="4" w:space="0"/>
              <w:bottom w:val="single" w:color="auto" w:sz="4" w:space="0"/>
              <w:right w:val="single" w:color="auto" w:sz="8" w:space="0"/>
            </w:tcBorders>
          </w:tcPr>
          <w:p w14:paraId="2C99D87D">
            <w:pPr>
              <w:spacing w:line="600" w:lineRule="exact"/>
              <w:rPr>
                <w:rFonts w:hint="default" w:ascii="仿宋" w:hAnsi="仿宋" w:eastAsia="仿宋" w:cs="Times New Roman"/>
                <w:sz w:val="32"/>
                <w:szCs w:val="24"/>
                <w:lang w:val="en-US" w:eastAsia="zh-CN"/>
              </w:rPr>
            </w:pPr>
          </w:p>
        </w:tc>
      </w:tr>
      <w:tr w14:paraId="209396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19" w:hRule="atLeast"/>
          <w:jc w:val="center"/>
        </w:trPr>
        <w:tc>
          <w:tcPr>
            <w:tcW w:w="8748" w:type="dxa"/>
            <w:gridSpan w:val="5"/>
            <w:tcBorders>
              <w:top w:val="single" w:color="auto" w:sz="4" w:space="0"/>
              <w:left w:val="single" w:color="auto" w:sz="8" w:space="0"/>
              <w:bottom w:val="single" w:color="auto" w:sz="4" w:space="0"/>
              <w:right w:val="single" w:color="auto" w:sz="8" w:space="0"/>
            </w:tcBorders>
            <w:vAlign w:val="top"/>
          </w:tcPr>
          <w:p w14:paraId="70BD7F57">
            <w:pPr>
              <w:spacing w:line="520" w:lineRule="exact"/>
              <w:ind w:firstLine="700" w:firstLineChars="250"/>
              <w:rPr>
                <w:rFonts w:ascii="仿宋" w:hAnsi="仿宋" w:eastAsia="仿宋" w:cs="Times New Roman"/>
                <w:sz w:val="28"/>
                <w:szCs w:val="28"/>
              </w:rPr>
            </w:pPr>
            <w:r>
              <w:rPr>
                <w:rFonts w:hint="eastAsia" w:ascii="仿宋" w:hAnsi="仿宋" w:eastAsia="仿宋" w:cs="Times New Roman"/>
                <w:sz w:val="28"/>
                <w:szCs w:val="28"/>
              </w:rPr>
              <w:t>本人授权</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（受托人）代表本人参加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年</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日在</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大冶市公共资源交易中心</w:t>
            </w:r>
            <w:r>
              <w:rPr>
                <w:rFonts w:hint="eastAsia" w:ascii="仿宋" w:hAnsi="仿宋" w:eastAsia="仿宋" w:cs="Times New Roman"/>
                <w:sz w:val="28"/>
                <w:szCs w:val="28"/>
              </w:rPr>
              <w:t>（地点）举办的编号为</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地块的农村集体经营性建设用地使用权挂牌出让活动，代表本人签订《成交确认书》《</w:t>
            </w:r>
            <w:r>
              <w:rPr>
                <w:rFonts w:hint="eastAsia" w:ascii="仿宋" w:hAnsi="仿宋" w:eastAsia="仿宋" w:cs="Times New Roman"/>
                <w:sz w:val="28"/>
                <w:szCs w:val="28"/>
                <w:lang w:val="en-US" w:eastAsia="zh-CN"/>
              </w:rPr>
              <w:t>集体经营性</w:t>
            </w:r>
            <w:r>
              <w:rPr>
                <w:rFonts w:hint="eastAsia" w:ascii="仿宋" w:hAnsi="仿宋" w:eastAsia="仿宋" w:cs="Times New Roman"/>
                <w:sz w:val="28"/>
                <w:szCs w:val="28"/>
              </w:rPr>
              <w:t>建设用地使用权出让合同》</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集体经</w:t>
            </w:r>
            <w:r>
              <w:rPr>
                <w:rFonts w:hint="eastAsia" w:ascii="仿宋" w:hAnsi="仿宋" w:eastAsia="仿宋" w:cs="Times New Roman"/>
                <w:sz w:val="28"/>
                <w:szCs w:val="28"/>
                <w:u w:val="none"/>
                <w:lang w:val="en-US" w:eastAsia="zh-CN"/>
              </w:rPr>
              <w:t>营性建设用地出让监管协议》</w:t>
            </w:r>
            <w:r>
              <w:rPr>
                <w:rFonts w:hint="eastAsia" w:ascii="仿宋" w:hAnsi="仿宋" w:eastAsia="仿宋" w:cs="Times New Roman"/>
                <w:sz w:val="28"/>
                <w:szCs w:val="28"/>
              </w:rPr>
              <w:t>等具有法律意义的文件、凭证等。</w:t>
            </w:r>
          </w:p>
          <w:p w14:paraId="166AF462">
            <w:pPr>
              <w:spacing w:line="540" w:lineRule="exact"/>
              <w:ind w:firstLine="560" w:firstLineChars="200"/>
              <w:rPr>
                <w:rFonts w:ascii="仿宋" w:hAnsi="仿宋" w:eastAsia="仿宋" w:cs="Times New Roman"/>
                <w:bCs/>
                <w:sz w:val="28"/>
                <w:szCs w:val="28"/>
              </w:rPr>
            </w:pPr>
            <w:r>
              <w:rPr>
                <w:rFonts w:hint="eastAsia" w:ascii="仿宋" w:hAnsi="仿宋" w:eastAsia="仿宋" w:cs="Times New Roman"/>
                <w:bCs/>
                <w:sz w:val="28"/>
                <w:szCs w:val="28"/>
              </w:rPr>
              <w:t>受托人在该地块挂牌出让活动中所做出的承诺、签署的合同或文件，本人均予以承认，并承担由此产生的法律后果。</w:t>
            </w:r>
          </w:p>
          <w:p w14:paraId="6E4BEA60">
            <w:pPr>
              <w:spacing w:line="480" w:lineRule="exact"/>
              <w:ind w:firstLine="4480" w:firstLineChars="1400"/>
              <w:rPr>
                <w:rFonts w:ascii="仿宋" w:hAnsi="仿宋" w:eastAsia="仿宋" w:cs="Times New Roman"/>
                <w:sz w:val="32"/>
                <w:szCs w:val="24"/>
                <w:u w:val="single"/>
              </w:rPr>
            </w:pPr>
            <w:r>
              <w:rPr>
                <w:rFonts w:hint="eastAsia" w:ascii="仿宋" w:hAnsi="仿宋" w:eastAsia="仿宋" w:cs="Times New Roman"/>
                <w:sz w:val="32"/>
                <w:szCs w:val="24"/>
              </w:rPr>
              <w:t>委托人（签名）:</w:t>
            </w:r>
            <w:r>
              <w:rPr>
                <w:rFonts w:hint="eastAsia" w:ascii="仿宋" w:hAnsi="仿宋" w:eastAsia="仿宋" w:cs="Times New Roman"/>
                <w:sz w:val="32"/>
                <w:szCs w:val="44"/>
                <w:u w:val="single"/>
              </w:rPr>
              <w:t xml:space="preserve">           </w:t>
            </w:r>
          </w:p>
          <w:p w14:paraId="4133D9E6">
            <w:pPr>
              <w:spacing w:line="480" w:lineRule="exact"/>
              <w:ind w:firstLine="5600" w:firstLineChars="1750"/>
              <w:jc w:val="both"/>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r w14:paraId="1731D1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761" w:type="dxa"/>
            <w:tcBorders>
              <w:top w:val="single" w:color="auto" w:sz="4" w:space="0"/>
              <w:left w:val="single" w:color="auto" w:sz="8" w:space="0"/>
              <w:bottom w:val="single" w:color="auto" w:sz="8" w:space="0"/>
              <w:right w:val="single" w:color="auto" w:sz="4" w:space="0"/>
            </w:tcBorders>
            <w:vAlign w:val="center"/>
          </w:tcPr>
          <w:p w14:paraId="5A5545E5">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备</w:t>
            </w:r>
          </w:p>
          <w:p w14:paraId="2A3C11EA">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注</w:t>
            </w:r>
          </w:p>
        </w:tc>
        <w:tc>
          <w:tcPr>
            <w:tcW w:w="7987" w:type="dxa"/>
            <w:gridSpan w:val="4"/>
            <w:tcBorders>
              <w:top w:val="single" w:color="auto" w:sz="4" w:space="0"/>
              <w:left w:val="single" w:color="auto" w:sz="4" w:space="0"/>
              <w:bottom w:val="single" w:color="auto" w:sz="8" w:space="0"/>
              <w:right w:val="single" w:color="auto" w:sz="8" w:space="0"/>
            </w:tcBorders>
          </w:tcPr>
          <w:p w14:paraId="511B281D">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兹证明本委托书确系本单位法定代表人亲自签署。</w:t>
            </w:r>
          </w:p>
          <w:p w14:paraId="3FAD59C2">
            <w:pPr>
              <w:spacing w:line="520" w:lineRule="exact"/>
              <w:ind w:firstLine="5440" w:firstLineChars="1700"/>
              <w:rPr>
                <w:rFonts w:ascii="仿宋" w:hAnsi="仿宋" w:eastAsia="仿宋" w:cs="Times New Roman"/>
                <w:sz w:val="32"/>
                <w:szCs w:val="24"/>
              </w:rPr>
            </w:pPr>
            <w:r>
              <w:rPr>
                <w:rFonts w:hint="eastAsia" w:ascii="仿宋" w:hAnsi="仿宋" w:eastAsia="仿宋" w:cs="Times New Roman"/>
                <w:sz w:val="32"/>
                <w:szCs w:val="24"/>
              </w:rPr>
              <w:t>（单位公章）</w:t>
            </w:r>
          </w:p>
          <w:p w14:paraId="7FECB293">
            <w:pPr>
              <w:spacing w:line="520" w:lineRule="exact"/>
              <w:ind w:firstLine="4800" w:firstLineChars="1500"/>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bl>
    <w:p w14:paraId="158E0D2C">
      <w:pPr>
        <w:spacing w:line="600" w:lineRule="exact"/>
        <w:jc w:val="center"/>
        <w:rPr>
          <w:rFonts w:hint="eastAsia" w:ascii="黑体" w:hAnsi="宋体" w:eastAsia="黑体" w:cs="Times New Roman"/>
          <w:sz w:val="44"/>
          <w:szCs w:val="36"/>
        </w:rPr>
      </w:pPr>
      <w:r>
        <w:rPr>
          <w:rFonts w:hint="eastAsia" w:ascii="黑体" w:hAnsi="宋体" w:eastAsia="黑体" w:cs="Times New Roman"/>
          <w:sz w:val="44"/>
          <w:szCs w:val="36"/>
        </w:rPr>
        <w:t>农村集体经营性建设用地使用权</w:t>
      </w:r>
    </w:p>
    <w:p w14:paraId="1D577E43">
      <w:pPr>
        <w:spacing w:line="600" w:lineRule="exact"/>
        <w:jc w:val="center"/>
        <w:rPr>
          <w:rFonts w:hint="eastAsia" w:ascii="黑体" w:hAnsi="宋体" w:eastAsia="黑体" w:cs="Times New Roman"/>
          <w:sz w:val="44"/>
          <w:szCs w:val="36"/>
        </w:rPr>
      </w:pPr>
      <w:r>
        <w:rPr>
          <w:rFonts w:hint="eastAsia" w:ascii="黑体" w:hAnsi="宋体" w:eastAsia="黑体" w:cs="Times New Roman"/>
          <w:sz w:val="44"/>
          <w:szCs w:val="36"/>
        </w:rPr>
        <w:t>挂牌出让竞买报价单</w:t>
      </w:r>
    </w:p>
    <w:p w14:paraId="651E970E">
      <w:pPr>
        <w:spacing w:line="600" w:lineRule="exact"/>
        <w:jc w:val="center"/>
        <w:rPr>
          <w:rFonts w:hint="eastAsia" w:ascii="黑体" w:hAnsi="宋体" w:eastAsia="黑体" w:cs="Times New Roman"/>
          <w:sz w:val="44"/>
          <w:szCs w:val="36"/>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4954"/>
        <w:gridCol w:w="1346"/>
      </w:tblGrid>
      <w:tr w14:paraId="004B7B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448" w:type="dxa"/>
            <w:tcBorders>
              <w:top w:val="single" w:color="auto" w:sz="8" w:space="0"/>
              <w:left w:val="single" w:color="auto" w:sz="8" w:space="0"/>
              <w:bottom w:val="single" w:color="auto" w:sz="4" w:space="0"/>
              <w:right w:val="single" w:color="auto" w:sz="4" w:space="0"/>
            </w:tcBorders>
            <w:vAlign w:val="center"/>
          </w:tcPr>
          <w:p w14:paraId="4C93CDA7">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地块编号</w:t>
            </w:r>
          </w:p>
        </w:tc>
        <w:tc>
          <w:tcPr>
            <w:tcW w:w="4954" w:type="dxa"/>
            <w:tcBorders>
              <w:top w:val="single" w:color="auto" w:sz="8" w:space="0"/>
              <w:left w:val="single" w:color="auto" w:sz="4" w:space="0"/>
              <w:bottom w:val="single" w:color="auto" w:sz="4" w:space="0"/>
              <w:right w:val="single" w:color="auto" w:sz="4" w:space="0"/>
            </w:tcBorders>
            <w:vAlign w:val="center"/>
          </w:tcPr>
          <w:p w14:paraId="0464CC78">
            <w:pPr>
              <w:spacing w:line="400" w:lineRule="exact"/>
              <w:ind w:firstLine="1280" w:firstLineChars="400"/>
              <w:jc w:val="both"/>
              <w:rPr>
                <w:rFonts w:hint="default" w:ascii="仿宋" w:hAnsi="仿宋" w:eastAsia="仿宋" w:cs="Times New Roman"/>
                <w:sz w:val="32"/>
                <w:szCs w:val="24"/>
                <w:u w:val="single"/>
                <w:lang w:val="en-US" w:eastAsia="zh-CN"/>
              </w:rPr>
            </w:pPr>
            <w:r>
              <w:rPr>
                <w:rFonts w:hint="eastAsia" w:ascii="仿宋" w:hAnsi="仿宋" w:eastAsia="仿宋" w:cs="Times New Roman"/>
                <w:sz w:val="32"/>
                <w:szCs w:val="32"/>
                <w:u w:val="single"/>
                <w:lang w:val="en-US" w:eastAsia="zh-CN"/>
              </w:rPr>
              <w:t xml:space="preserve">              </w:t>
            </w:r>
          </w:p>
        </w:tc>
        <w:tc>
          <w:tcPr>
            <w:tcW w:w="1346" w:type="dxa"/>
            <w:vMerge w:val="restart"/>
            <w:tcBorders>
              <w:top w:val="single" w:color="auto" w:sz="8" w:space="0"/>
              <w:left w:val="single" w:color="auto" w:sz="4" w:space="0"/>
              <w:bottom w:val="single" w:color="auto" w:sz="4" w:space="0"/>
              <w:right w:val="single" w:color="auto" w:sz="8" w:space="0"/>
            </w:tcBorders>
            <w:vAlign w:val="center"/>
          </w:tcPr>
          <w:p w14:paraId="5F654E12">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由</w:t>
            </w:r>
          </w:p>
          <w:p w14:paraId="32D7D64F">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w:t>
            </w:r>
          </w:p>
          <w:p w14:paraId="4837C7CD">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买</w:t>
            </w:r>
          </w:p>
          <w:p w14:paraId="0B8114D2">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人</w:t>
            </w:r>
          </w:p>
          <w:p w14:paraId="6BFF2930">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填</w:t>
            </w:r>
          </w:p>
          <w:p w14:paraId="07133676">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写</w:t>
            </w:r>
          </w:p>
        </w:tc>
      </w:tr>
      <w:tr w14:paraId="685700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14"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3B17CDB0">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竞买报价</w:t>
            </w:r>
          </w:p>
        </w:tc>
        <w:tc>
          <w:tcPr>
            <w:tcW w:w="4954" w:type="dxa"/>
            <w:tcBorders>
              <w:top w:val="single" w:color="auto" w:sz="4" w:space="0"/>
              <w:left w:val="single" w:color="auto" w:sz="4" w:space="0"/>
              <w:bottom w:val="single" w:color="auto" w:sz="4" w:space="0"/>
              <w:right w:val="single" w:color="auto" w:sz="4" w:space="0"/>
            </w:tcBorders>
            <w:vAlign w:val="center"/>
          </w:tcPr>
          <w:p w14:paraId="0510A4DC">
            <w:pPr>
              <w:spacing w:line="600" w:lineRule="exact"/>
              <w:ind w:left="960" w:hanging="960" w:hangingChars="300"/>
              <w:rPr>
                <w:rFonts w:hint="eastAsia" w:ascii="仿宋" w:hAnsi="仿宋" w:eastAsia="仿宋" w:cs="Times New Roman"/>
                <w:sz w:val="32"/>
                <w:szCs w:val="24"/>
                <w:lang w:eastAsia="zh-CN"/>
              </w:rPr>
            </w:pPr>
            <w:r>
              <w:rPr>
                <w:rFonts w:hint="eastAsia" w:ascii="仿宋" w:hAnsi="仿宋" w:eastAsia="仿宋" w:cs="Times New Roman"/>
                <w:sz w:val="32"/>
                <w:szCs w:val="24"/>
              </w:rPr>
              <w:t>人民</w:t>
            </w:r>
            <w:r>
              <w:rPr>
                <w:rFonts w:hint="eastAsia" w:ascii="仿宋" w:hAnsi="仿宋" w:eastAsia="仿宋" w:cs="Times New Roman"/>
                <w:sz w:val="32"/>
                <w:szCs w:val="24"/>
                <w:lang w:val="en-US" w:eastAsia="zh-CN"/>
              </w:rPr>
              <w:t>币</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(大写</w:t>
            </w:r>
            <w:r>
              <w:rPr>
                <w:rFonts w:hint="eastAsia" w:ascii="仿宋" w:hAnsi="仿宋" w:eastAsia="仿宋" w:cs="Times New Roman"/>
                <w:sz w:val="32"/>
                <w:szCs w:val="24"/>
                <w:lang w:eastAsia="zh-CN"/>
              </w:rPr>
              <w:t>）</w:t>
            </w:r>
          </w:p>
          <w:p w14:paraId="578A5BDE">
            <w:pPr>
              <w:spacing w:line="600" w:lineRule="exact"/>
              <w:ind w:left="958" w:leftChars="456" w:firstLine="320" w:firstLineChars="100"/>
              <w:rPr>
                <w:rFonts w:ascii="仿宋" w:hAnsi="仿宋" w:eastAsia="仿宋" w:cs="Times New Roman"/>
                <w:sz w:val="32"/>
                <w:szCs w:val="24"/>
              </w:rPr>
            </w:pPr>
            <w:r>
              <w:rPr>
                <w:rFonts w:hint="eastAsia" w:ascii="仿宋" w:hAnsi="仿宋" w:eastAsia="仿宋" w:cs="Times New Roman"/>
                <w:sz w:val="32"/>
                <w:szCs w:val="24"/>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元)</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7DEE4FB5">
            <w:pPr>
              <w:widowControl/>
              <w:jc w:val="left"/>
              <w:rPr>
                <w:rFonts w:ascii="仿宋" w:hAnsi="仿宋" w:eastAsia="仿宋" w:cs="Times New Roman"/>
                <w:sz w:val="32"/>
                <w:szCs w:val="24"/>
              </w:rPr>
            </w:pPr>
          </w:p>
        </w:tc>
      </w:tr>
      <w:tr w14:paraId="6D3C92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53"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300023B9">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 买 人</w:t>
            </w:r>
          </w:p>
        </w:tc>
        <w:tc>
          <w:tcPr>
            <w:tcW w:w="4954" w:type="dxa"/>
            <w:tcBorders>
              <w:top w:val="single" w:color="auto" w:sz="4" w:space="0"/>
              <w:left w:val="single" w:color="auto" w:sz="4" w:space="0"/>
              <w:bottom w:val="single" w:color="auto" w:sz="4" w:space="0"/>
              <w:right w:val="single" w:color="auto" w:sz="4" w:space="0"/>
            </w:tcBorders>
            <w:vAlign w:val="center"/>
          </w:tcPr>
          <w:p w14:paraId="699FB546">
            <w:pPr>
              <w:spacing w:line="640" w:lineRule="exact"/>
              <w:rPr>
                <w:rFonts w:hint="default" w:ascii="仿宋" w:hAnsi="仿宋" w:eastAsia="仿宋" w:cs="Times New Roman"/>
                <w:sz w:val="30"/>
                <w:szCs w:val="30"/>
                <w:u w:val="single"/>
                <w:lang w:val="en-US" w:eastAsia="zh-CN"/>
              </w:rPr>
            </w:pPr>
            <w:r>
              <w:rPr>
                <w:rFonts w:hint="eastAsia" w:ascii="仿宋" w:hAnsi="仿宋" w:eastAsia="仿宋" w:cs="Times New Roman"/>
                <w:sz w:val="32"/>
                <w:szCs w:val="24"/>
              </w:rPr>
              <w:t>名称：</w:t>
            </w:r>
            <w:r>
              <w:rPr>
                <w:rFonts w:hint="eastAsia" w:ascii="仿宋" w:hAnsi="仿宋" w:eastAsia="仿宋" w:cs="Times New Roman"/>
                <w:sz w:val="32"/>
                <w:szCs w:val="24"/>
                <w:u w:val="single"/>
                <w:lang w:val="en-US" w:eastAsia="zh-CN"/>
              </w:rPr>
              <w:t xml:space="preserve">                  </w:t>
            </w:r>
          </w:p>
          <w:p w14:paraId="5F3F6F8B">
            <w:pPr>
              <w:spacing w:line="640" w:lineRule="exact"/>
              <w:ind w:firstLine="1600" w:firstLineChars="500"/>
              <w:rPr>
                <w:rFonts w:ascii="仿宋" w:hAnsi="仿宋" w:eastAsia="仿宋" w:cs="Times New Roman"/>
                <w:sz w:val="32"/>
                <w:szCs w:val="24"/>
              </w:rPr>
            </w:pPr>
            <w:r>
              <w:rPr>
                <w:rFonts w:hint="eastAsia" w:ascii="仿宋" w:hAnsi="仿宋" w:eastAsia="仿宋" w:cs="Times New Roman"/>
                <w:sz w:val="32"/>
                <w:szCs w:val="24"/>
              </w:rPr>
              <w:t>（加盖公章）</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4D5CC34E">
            <w:pPr>
              <w:widowControl/>
              <w:jc w:val="left"/>
              <w:rPr>
                <w:rFonts w:ascii="仿宋" w:hAnsi="仿宋" w:eastAsia="仿宋" w:cs="Times New Roman"/>
                <w:sz w:val="32"/>
                <w:szCs w:val="24"/>
              </w:rPr>
            </w:pPr>
          </w:p>
        </w:tc>
      </w:tr>
      <w:tr w14:paraId="3D5522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62"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1D39208F">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法定代表人</w:t>
            </w:r>
          </w:p>
          <w:p w14:paraId="642AF0BE">
            <w:pPr>
              <w:spacing w:line="400" w:lineRule="exact"/>
              <w:jc w:val="center"/>
              <w:rPr>
                <w:rFonts w:ascii="仿宋" w:hAnsi="仿宋" w:eastAsia="仿宋" w:cs="Times New Roman"/>
                <w:sz w:val="32"/>
                <w:szCs w:val="30"/>
              </w:rPr>
            </w:pPr>
            <w:r>
              <w:rPr>
                <w:rFonts w:hint="eastAsia" w:ascii="仿宋" w:hAnsi="仿宋" w:eastAsia="仿宋" w:cs="Times New Roman"/>
                <w:sz w:val="32"/>
                <w:szCs w:val="30"/>
              </w:rPr>
              <w:t>（或授权委托代理人）</w:t>
            </w:r>
          </w:p>
        </w:tc>
        <w:tc>
          <w:tcPr>
            <w:tcW w:w="4954" w:type="dxa"/>
            <w:tcBorders>
              <w:top w:val="single" w:color="auto" w:sz="4" w:space="0"/>
              <w:left w:val="single" w:color="auto" w:sz="4" w:space="0"/>
              <w:bottom w:val="single" w:color="auto" w:sz="4" w:space="0"/>
              <w:right w:val="single" w:color="auto" w:sz="4" w:space="0"/>
            </w:tcBorders>
            <w:vAlign w:val="center"/>
          </w:tcPr>
          <w:p w14:paraId="177C23BD">
            <w:pPr>
              <w:spacing w:line="400" w:lineRule="exact"/>
              <w:jc w:val="center"/>
              <w:rPr>
                <w:rFonts w:ascii="仿宋" w:hAnsi="仿宋" w:eastAsia="仿宋" w:cs="Times New Roman"/>
                <w:sz w:val="32"/>
                <w:szCs w:val="24"/>
              </w:rPr>
            </w:pPr>
          </w:p>
          <w:p w14:paraId="5B7ACE5E">
            <w:pPr>
              <w:spacing w:line="400" w:lineRule="exact"/>
              <w:jc w:val="center"/>
              <w:rPr>
                <w:rFonts w:ascii="仿宋" w:hAnsi="仿宋" w:eastAsia="仿宋" w:cs="Times New Roman"/>
                <w:sz w:val="32"/>
                <w:szCs w:val="24"/>
              </w:rPr>
            </w:pPr>
          </w:p>
          <w:p w14:paraId="7536B7F4">
            <w:pPr>
              <w:spacing w:line="400" w:lineRule="exact"/>
              <w:jc w:val="center"/>
              <w:rPr>
                <w:rFonts w:ascii="仿宋" w:hAnsi="仿宋" w:eastAsia="仿宋" w:cs="Times New Roman"/>
                <w:sz w:val="32"/>
                <w:szCs w:val="24"/>
              </w:rPr>
            </w:pPr>
          </w:p>
          <w:p w14:paraId="436AB848">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50E19930">
            <w:pPr>
              <w:widowControl/>
              <w:jc w:val="left"/>
              <w:rPr>
                <w:rFonts w:ascii="仿宋" w:hAnsi="仿宋" w:eastAsia="仿宋" w:cs="Times New Roman"/>
                <w:sz w:val="32"/>
                <w:szCs w:val="24"/>
              </w:rPr>
            </w:pPr>
          </w:p>
        </w:tc>
      </w:tr>
      <w:tr w14:paraId="79A87B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79"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663C5433">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收到报价时间</w:t>
            </w:r>
          </w:p>
        </w:tc>
        <w:tc>
          <w:tcPr>
            <w:tcW w:w="4954" w:type="dxa"/>
            <w:tcBorders>
              <w:top w:val="single" w:color="auto" w:sz="4" w:space="0"/>
              <w:left w:val="single" w:color="auto" w:sz="4" w:space="0"/>
              <w:bottom w:val="single" w:color="auto" w:sz="4" w:space="0"/>
              <w:right w:val="single" w:color="auto" w:sz="4" w:space="0"/>
            </w:tcBorders>
            <w:vAlign w:val="center"/>
          </w:tcPr>
          <w:p w14:paraId="2E7050D3">
            <w:pPr>
              <w:spacing w:line="400" w:lineRule="exact"/>
              <w:ind w:firstLine="320" w:firstLineChars="100"/>
              <w:rPr>
                <w:rFonts w:hint="default" w:ascii="仿宋" w:hAnsi="仿宋" w:eastAsia="仿宋" w:cs="Times New Roman"/>
                <w:sz w:val="32"/>
                <w:szCs w:val="24"/>
                <w:lang w:val="en-US" w:eastAsia="zh-CN"/>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restart"/>
            <w:tcBorders>
              <w:top w:val="single" w:color="auto" w:sz="4" w:space="0"/>
              <w:left w:val="single" w:color="auto" w:sz="4" w:space="0"/>
              <w:bottom w:val="single" w:color="auto" w:sz="8" w:space="0"/>
              <w:right w:val="single" w:color="auto" w:sz="8" w:space="0"/>
            </w:tcBorders>
            <w:vAlign w:val="center"/>
          </w:tcPr>
          <w:p w14:paraId="54EB37EF">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由</w:t>
            </w:r>
          </w:p>
          <w:p w14:paraId="484CE810">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挂</w:t>
            </w:r>
          </w:p>
          <w:p w14:paraId="1F8EC7CB">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牌</w:t>
            </w:r>
          </w:p>
          <w:p w14:paraId="1C9C31B4">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主</w:t>
            </w:r>
          </w:p>
          <w:p w14:paraId="1892D176">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持</w:t>
            </w:r>
          </w:p>
          <w:p w14:paraId="385FE6ED">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人</w:t>
            </w:r>
          </w:p>
          <w:p w14:paraId="60DF9D51">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填</w:t>
            </w:r>
          </w:p>
          <w:p w14:paraId="6765E67E">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写</w:t>
            </w:r>
          </w:p>
          <w:p w14:paraId="74DD94B7">
            <w:pPr>
              <w:spacing w:line="400" w:lineRule="exact"/>
              <w:jc w:val="center"/>
              <w:rPr>
                <w:rFonts w:ascii="仿宋" w:hAnsi="仿宋" w:eastAsia="仿宋" w:cs="Times New Roman"/>
                <w:sz w:val="32"/>
                <w:szCs w:val="24"/>
              </w:rPr>
            </w:pPr>
          </w:p>
        </w:tc>
      </w:tr>
      <w:tr w14:paraId="1B68EC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96"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7F07F386">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挂牌主持人</w:t>
            </w:r>
          </w:p>
        </w:tc>
        <w:tc>
          <w:tcPr>
            <w:tcW w:w="4954" w:type="dxa"/>
            <w:tcBorders>
              <w:top w:val="single" w:color="auto" w:sz="4" w:space="0"/>
              <w:left w:val="single" w:color="auto" w:sz="4" w:space="0"/>
              <w:bottom w:val="single" w:color="auto" w:sz="4" w:space="0"/>
              <w:right w:val="single" w:color="auto" w:sz="4" w:space="0"/>
            </w:tcBorders>
            <w:vAlign w:val="center"/>
          </w:tcPr>
          <w:p w14:paraId="0046F3FA">
            <w:pPr>
              <w:spacing w:line="400" w:lineRule="exact"/>
              <w:jc w:val="center"/>
              <w:rPr>
                <w:rFonts w:ascii="仿宋" w:hAnsi="仿宋" w:eastAsia="仿宋" w:cs="Times New Roman"/>
                <w:sz w:val="32"/>
                <w:szCs w:val="24"/>
              </w:rPr>
            </w:pPr>
          </w:p>
          <w:p w14:paraId="28A5ABD8">
            <w:pPr>
              <w:spacing w:line="400" w:lineRule="exact"/>
              <w:jc w:val="center"/>
              <w:rPr>
                <w:rFonts w:ascii="仿宋" w:hAnsi="仿宋" w:eastAsia="仿宋" w:cs="Times New Roman"/>
                <w:sz w:val="32"/>
                <w:szCs w:val="24"/>
              </w:rPr>
            </w:pPr>
          </w:p>
          <w:p w14:paraId="6CC9C642">
            <w:pPr>
              <w:spacing w:line="400" w:lineRule="exact"/>
              <w:jc w:val="center"/>
              <w:rPr>
                <w:rFonts w:ascii="仿宋" w:hAnsi="仿宋" w:eastAsia="仿宋" w:cs="Times New Roman"/>
                <w:sz w:val="32"/>
                <w:szCs w:val="24"/>
              </w:rPr>
            </w:pPr>
          </w:p>
          <w:p w14:paraId="555D8D4F">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3D911190">
            <w:pPr>
              <w:widowControl/>
              <w:jc w:val="left"/>
              <w:rPr>
                <w:rFonts w:ascii="仿宋" w:hAnsi="仿宋" w:eastAsia="仿宋" w:cs="Times New Roman"/>
                <w:sz w:val="32"/>
                <w:szCs w:val="24"/>
              </w:rPr>
            </w:pPr>
          </w:p>
        </w:tc>
      </w:tr>
      <w:tr w14:paraId="108EC3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45" w:hRule="atLeast"/>
          <w:jc w:val="center"/>
        </w:trPr>
        <w:tc>
          <w:tcPr>
            <w:tcW w:w="2448" w:type="dxa"/>
            <w:tcBorders>
              <w:top w:val="single" w:color="auto" w:sz="4" w:space="0"/>
              <w:left w:val="single" w:color="auto" w:sz="8" w:space="0"/>
              <w:bottom w:val="single" w:color="auto" w:sz="8" w:space="0"/>
              <w:right w:val="single" w:color="auto" w:sz="4" w:space="0"/>
            </w:tcBorders>
            <w:vAlign w:val="center"/>
          </w:tcPr>
          <w:p w14:paraId="14454B98">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确认时间</w:t>
            </w:r>
          </w:p>
        </w:tc>
        <w:tc>
          <w:tcPr>
            <w:tcW w:w="4954" w:type="dxa"/>
            <w:tcBorders>
              <w:top w:val="single" w:color="auto" w:sz="4" w:space="0"/>
              <w:left w:val="single" w:color="auto" w:sz="4" w:space="0"/>
              <w:bottom w:val="single" w:color="auto" w:sz="8" w:space="0"/>
              <w:right w:val="single" w:color="auto" w:sz="4" w:space="0"/>
            </w:tcBorders>
            <w:vAlign w:val="center"/>
          </w:tcPr>
          <w:p w14:paraId="07D3D6C7">
            <w:pPr>
              <w:spacing w:line="400" w:lineRule="exact"/>
              <w:rPr>
                <w:rFonts w:ascii="仿宋" w:hAnsi="仿宋" w:eastAsia="仿宋" w:cs="Times New Roman"/>
                <w:sz w:val="32"/>
                <w:szCs w:val="24"/>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2C19694F">
            <w:pPr>
              <w:widowControl/>
              <w:jc w:val="left"/>
              <w:rPr>
                <w:rFonts w:ascii="仿宋" w:hAnsi="仿宋" w:eastAsia="仿宋" w:cs="Times New Roman"/>
                <w:sz w:val="32"/>
                <w:szCs w:val="24"/>
              </w:rPr>
            </w:pPr>
          </w:p>
        </w:tc>
      </w:tr>
    </w:tbl>
    <w:p w14:paraId="540CCCB8">
      <w:pPr>
        <w:rPr>
          <w:rFonts w:ascii="仿宋" w:hAnsi="仿宋" w:eastAsia="仿宋" w:cs="Times New Roman"/>
          <w:szCs w:val="24"/>
        </w:rPr>
      </w:pPr>
    </w:p>
    <w:p w14:paraId="7EA4E449">
      <w:pPr>
        <w:spacing w:line="560" w:lineRule="exact"/>
        <w:jc w:val="center"/>
        <w:rPr>
          <w:rFonts w:hint="eastAsia" w:ascii="黑体" w:hAnsi="宋体" w:eastAsia="黑体" w:cs="Times New Roman"/>
          <w:sz w:val="44"/>
          <w:szCs w:val="36"/>
        </w:rPr>
      </w:pPr>
      <w:r>
        <w:rPr>
          <w:rFonts w:hint="eastAsia" w:ascii="黑体" w:hAnsi="宋体" w:eastAsia="黑体" w:cs="Times New Roman"/>
          <w:sz w:val="44"/>
          <w:szCs w:val="36"/>
        </w:rPr>
        <w:t>竞买资格确认书</w:t>
      </w:r>
    </w:p>
    <w:p w14:paraId="5FDE0560">
      <w:pPr>
        <w:spacing w:line="560" w:lineRule="exact"/>
        <w:jc w:val="both"/>
        <w:rPr>
          <w:rFonts w:hint="default" w:ascii="仿宋" w:hAnsi="仿宋" w:eastAsia="仿宋" w:cs="Times New Roman"/>
          <w:sz w:val="32"/>
          <w:szCs w:val="24"/>
          <w:u w:val="single"/>
          <w:lang w:val="en-US" w:eastAsia="zh-CN"/>
        </w:rPr>
      </w:pP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w:t>
      </w:r>
    </w:p>
    <w:p w14:paraId="1548D457">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你方提交的对</w:t>
      </w:r>
      <w:r>
        <w:rPr>
          <w:rFonts w:hint="eastAsia" w:ascii="仿宋" w:hAnsi="仿宋" w:eastAsia="仿宋" w:cs="Times New Roman"/>
          <w:sz w:val="32"/>
          <w:szCs w:val="24"/>
          <w:u w:val="single"/>
          <w:lang w:val="en-US" w:eastAsia="zh-CN"/>
        </w:rPr>
        <w:t>2026001</w:t>
      </w:r>
      <w:r>
        <w:rPr>
          <w:rFonts w:hint="eastAsia" w:ascii="仿宋" w:hAnsi="仿宋" w:eastAsia="仿宋" w:cs="Times New Roman"/>
          <w:sz w:val="32"/>
          <w:szCs w:val="24"/>
        </w:rPr>
        <w:t>号地块的竞买申请书及相关文件资料收悉。经审查，你方已按规定交纳了竞买保证金，所提交文件资料符合我方本次挂牌出让文件的规定和要求，现确认你方具备参加本次</w:t>
      </w:r>
      <w:r>
        <w:rPr>
          <w:rFonts w:hint="eastAsia" w:ascii="仿宋" w:hAnsi="仿宋" w:eastAsia="仿宋" w:cs="仿宋"/>
          <w:sz w:val="32"/>
          <w:szCs w:val="32"/>
          <w:lang w:val="en-US" w:eastAsia="zh-CN"/>
        </w:rPr>
        <w:t>农村集体经营性</w:t>
      </w:r>
      <w:r>
        <w:rPr>
          <w:rFonts w:hint="eastAsia" w:ascii="仿宋" w:hAnsi="仿宋" w:eastAsia="仿宋" w:cs="Times New Roman"/>
          <w:sz w:val="32"/>
          <w:szCs w:val="24"/>
        </w:rPr>
        <w:t>建设用地使用权挂牌竞买资格。请持此《竞买资格确认书》参加我中心于</w:t>
      </w:r>
      <w:r>
        <w:rPr>
          <w:rFonts w:hint="eastAsia" w:ascii="仿宋" w:hAnsi="仿宋" w:eastAsia="仿宋" w:cs="Times New Roman"/>
          <w:sz w:val="32"/>
          <w:szCs w:val="24"/>
          <w:u w:val="single"/>
          <w:lang w:val="en-US" w:eastAsia="zh-CN"/>
        </w:rPr>
        <w:t>2026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4</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1</w:t>
      </w:r>
      <w:r>
        <w:rPr>
          <w:rFonts w:hint="eastAsia" w:ascii="仿宋" w:hAnsi="仿宋" w:eastAsia="仿宋" w:cs="Times New Roman"/>
          <w:sz w:val="32"/>
          <w:szCs w:val="24"/>
        </w:rPr>
        <w:t>日至</w:t>
      </w:r>
      <w:r>
        <w:rPr>
          <w:rFonts w:hint="eastAsia" w:ascii="仿宋" w:hAnsi="仿宋" w:eastAsia="仿宋" w:cs="Times New Roman"/>
          <w:sz w:val="32"/>
          <w:szCs w:val="24"/>
          <w:u w:val="single"/>
          <w:lang w:val="en-US" w:eastAsia="zh-CN"/>
        </w:rPr>
        <w:t>2026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4</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14</w:t>
      </w:r>
      <w:r>
        <w:rPr>
          <w:rFonts w:hint="eastAsia" w:ascii="仿宋" w:hAnsi="仿宋" w:eastAsia="仿宋" w:cs="Times New Roman"/>
          <w:sz w:val="32"/>
          <w:szCs w:val="24"/>
        </w:rPr>
        <w:t>日在大冶市公共资源交易中心举行的</w:t>
      </w:r>
      <w:r>
        <w:rPr>
          <w:rFonts w:hint="eastAsia" w:ascii="仿宋" w:hAnsi="仿宋" w:eastAsia="仿宋" w:cs="仿宋"/>
          <w:sz w:val="32"/>
          <w:szCs w:val="32"/>
          <w:lang w:val="en-US" w:eastAsia="zh-CN"/>
        </w:rPr>
        <w:t>农村集体经营性</w:t>
      </w:r>
      <w:r>
        <w:rPr>
          <w:rFonts w:hint="eastAsia" w:ascii="仿宋" w:hAnsi="仿宋" w:eastAsia="仿宋" w:cs="Times New Roman"/>
          <w:sz w:val="32"/>
          <w:szCs w:val="24"/>
        </w:rPr>
        <w:t>建设用地使用权挂牌出让活动。</w:t>
      </w:r>
    </w:p>
    <w:p w14:paraId="2F394DD8">
      <w:pPr>
        <w:spacing w:line="600" w:lineRule="exact"/>
        <w:ind w:firstLine="640" w:firstLineChars="200"/>
        <w:jc w:val="left"/>
        <w:rPr>
          <w:rFonts w:ascii="仿宋" w:hAnsi="仿宋" w:eastAsia="仿宋" w:cs="Times New Roman"/>
          <w:sz w:val="32"/>
          <w:szCs w:val="24"/>
        </w:rPr>
      </w:pPr>
    </w:p>
    <w:p w14:paraId="26E22FFA">
      <w:pPr>
        <w:spacing w:line="600" w:lineRule="exact"/>
        <w:ind w:firstLine="640" w:firstLineChars="200"/>
        <w:jc w:val="left"/>
        <w:rPr>
          <w:rFonts w:ascii="仿宋" w:hAnsi="仿宋" w:eastAsia="仿宋" w:cs="Times New Roman"/>
          <w:sz w:val="32"/>
          <w:szCs w:val="24"/>
        </w:rPr>
      </w:pPr>
    </w:p>
    <w:p w14:paraId="44CEF679">
      <w:pPr>
        <w:spacing w:line="600" w:lineRule="exact"/>
        <w:ind w:firstLine="3840" w:firstLineChars="1200"/>
        <w:jc w:val="center"/>
        <w:rPr>
          <w:rFonts w:ascii="仿宋" w:hAnsi="仿宋" w:eastAsia="仿宋" w:cs="Times New Roman"/>
          <w:sz w:val="32"/>
          <w:szCs w:val="24"/>
        </w:rPr>
      </w:pPr>
    </w:p>
    <w:p w14:paraId="6B99CB6F">
      <w:pPr>
        <w:wordWrap w:val="0"/>
        <w:spacing w:line="600" w:lineRule="exact"/>
        <w:ind w:firstLine="4160" w:firstLineChars="1300"/>
        <w:jc w:val="center"/>
        <w:rPr>
          <w:rFonts w:ascii="仿宋" w:hAnsi="仿宋" w:eastAsia="仿宋" w:cs="Times New Roman"/>
          <w:szCs w:val="24"/>
        </w:rPr>
      </w:pPr>
      <w:r>
        <w:rPr>
          <w:rFonts w:hint="eastAsia" w:ascii="仿宋" w:hAnsi="仿宋" w:eastAsia="仿宋" w:cs="Times New Roman"/>
          <w:sz w:val="32"/>
          <w:szCs w:val="24"/>
        </w:rPr>
        <w:t xml:space="preserve">   202</w:t>
      </w:r>
      <w:r>
        <w:rPr>
          <w:rFonts w:hint="eastAsia" w:ascii="仿宋" w:hAnsi="仿宋" w:eastAsia="仿宋" w:cs="Times New Roman"/>
          <w:sz w:val="32"/>
          <w:szCs w:val="24"/>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3</w:t>
      </w:r>
      <w:r>
        <w:rPr>
          <w:rFonts w:hint="eastAsia" w:ascii="仿宋" w:hAnsi="仿宋" w:eastAsia="仿宋" w:cs="Times New Roman"/>
          <w:sz w:val="32"/>
          <w:szCs w:val="24"/>
        </w:rPr>
        <w:t>月</w:t>
      </w:r>
      <w:r>
        <w:rPr>
          <w:rFonts w:hint="eastAsia" w:ascii="仿宋" w:hAnsi="仿宋" w:eastAsia="仿宋" w:cs="Times New Roman"/>
          <w:sz w:val="32"/>
          <w:szCs w:val="24"/>
          <w:lang w:val="en-US" w:eastAsia="zh-CN"/>
        </w:rPr>
        <w:t>12</w:t>
      </w:r>
      <w:r>
        <w:rPr>
          <w:rFonts w:hint="eastAsia" w:ascii="仿宋" w:hAnsi="仿宋" w:eastAsia="仿宋" w:cs="Times New Roman"/>
          <w:sz w:val="32"/>
          <w:szCs w:val="24"/>
        </w:rPr>
        <w:t>日</w:t>
      </w:r>
    </w:p>
    <w:p w14:paraId="067531FC">
      <w:pPr>
        <w:spacing w:line="460" w:lineRule="exact"/>
        <w:rPr>
          <w:rFonts w:ascii="仿宋" w:hAnsi="仿宋" w:eastAsia="仿宋" w:cs="Times New Roman"/>
          <w:bCs/>
          <w:sz w:val="32"/>
          <w:szCs w:val="32"/>
        </w:rPr>
      </w:pPr>
    </w:p>
    <w:p w14:paraId="3AD26993">
      <w:pPr>
        <w:spacing w:line="460" w:lineRule="exact"/>
        <w:rPr>
          <w:rFonts w:ascii="宋体" w:hAnsi="宋体" w:eastAsia="宋体" w:cs="Times New Roman"/>
          <w:bCs/>
          <w:sz w:val="32"/>
          <w:szCs w:val="32"/>
        </w:rPr>
      </w:pPr>
    </w:p>
    <w:p w14:paraId="5C511CE5">
      <w:pPr>
        <w:spacing w:line="500" w:lineRule="exact"/>
        <w:rPr>
          <w:rFonts w:hint="eastAsia" w:ascii="黑体" w:hAnsi="宋体" w:eastAsia="黑体" w:cs="Times New Roman"/>
          <w:sz w:val="44"/>
          <w:szCs w:val="36"/>
        </w:rPr>
      </w:pPr>
    </w:p>
    <w:p w14:paraId="379BDD8A">
      <w:pPr>
        <w:spacing w:line="500" w:lineRule="exact"/>
        <w:ind w:firstLine="2640" w:firstLineChars="600"/>
        <w:rPr>
          <w:rFonts w:hint="eastAsia" w:ascii="黑体" w:hAnsi="宋体" w:eastAsia="黑体" w:cs="Times New Roman"/>
          <w:sz w:val="44"/>
          <w:szCs w:val="36"/>
        </w:rPr>
      </w:pPr>
    </w:p>
    <w:p w14:paraId="7C23C2BC">
      <w:pPr>
        <w:spacing w:line="500" w:lineRule="exact"/>
        <w:ind w:firstLine="2640" w:firstLineChars="600"/>
        <w:rPr>
          <w:rFonts w:hint="eastAsia" w:ascii="黑体" w:hAnsi="宋体" w:eastAsia="黑体" w:cs="Times New Roman"/>
          <w:sz w:val="44"/>
          <w:szCs w:val="36"/>
        </w:rPr>
      </w:pPr>
    </w:p>
    <w:p w14:paraId="67C87063">
      <w:pPr>
        <w:spacing w:line="500" w:lineRule="exact"/>
        <w:ind w:firstLine="2640" w:firstLineChars="600"/>
        <w:rPr>
          <w:rFonts w:hint="eastAsia" w:ascii="黑体" w:hAnsi="宋体" w:eastAsia="黑体" w:cs="Times New Roman"/>
          <w:sz w:val="44"/>
          <w:szCs w:val="36"/>
        </w:rPr>
      </w:pPr>
    </w:p>
    <w:p w14:paraId="17029677">
      <w:pPr>
        <w:spacing w:line="500" w:lineRule="exact"/>
        <w:ind w:firstLine="2640" w:firstLineChars="600"/>
        <w:rPr>
          <w:rFonts w:hint="eastAsia" w:ascii="黑体" w:hAnsi="宋体" w:eastAsia="黑体" w:cs="Times New Roman"/>
          <w:sz w:val="44"/>
          <w:szCs w:val="36"/>
        </w:rPr>
      </w:pPr>
    </w:p>
    <w:p w14:paraId="32D8D9F7">
      <w:pPr>
        <w:spacing w:line="500" w:lineRule="exact"/>
        <w:ind w:firstLine="2640" w:firstLineChars="600"/>
        <w:rPr>
          <w:rFonts w:hint="eastAsia" w:ascii="黑体" w:hAnsi="宋体" w:eastAsia="黑体" w:cs="Times New Roman"/>
          <w:sz w:val="44"/>
          <w:szCs w:val="36"/>
        </w:rPr>
      </w:pPr>
    </w:p>
    <w:p w14:paraId="151F2DA5">
      <w:pPr>
        <w:spacing w:line="500" w:lineRule="exact"/>
        <w:ind w:firstLine="2640" w:firstLineChars="600"/>
        <w:rPr>
          <w:rFonts w:hint="eastAsia" w:ascii="黑体" w:hAnsi="宋体" w:eastAsia="黑体" w:cs="Times New Roman"/>
          <w:sz w:val="44"/>
          <w:szCs w:val="36"/>
        </w:rPr>
      </w:pPr>
    </w:p>
    <w:p w14:paraId="0F133845">
      <w:pPr>
        <w:spacing w:line="500" w:lineRule="exact"/>
        <w:ind w:firstLine="2640" w:firstLineChars="600"/>
        <w:rPr>
          <w:rFonts w:hint="eastAsia" w:ascii="黑体" w:hAnsi="宋体" w:eastAsia="黑体" w:cs="Times New Roman"/>
          <w:sz w:val="44"/>
          <w:szCs w:val="36"/>
        </w:rPr>
      </w:pPr>
    </w:p>
    <w:p w14:paraId="0872501D">
      <w:pPr>
        <w:spacing w:line="500" w:lineRule="exact"/>
        <w:ind w:firstLine="2640" w:firstLineChars="600"/>
        <w:rPr>
          <w:rFonts w:hint="eastAsia" w:ascii="黑体" w:hAnsi="宋体" w:eastAsia="黑体" w:cs="Times New Roman"/>
          <w:sz w:val="44"/>
          <w:szCs w:val="36"/>
        </w:rPr>
      </w:pPr>
    </w:p>
    <w:p w14:paraId="3382A878">
      <w:pPr>
        <w:spacing w:line="500" w:lineRule="exact"/>
        <w:rPr>
          <w:rFonts w:hint="eastAsia" w:ascii="黑体" w:hAnsi="宋体" w:eastAsia="黑体" w:cs="Times New Roman"/>
          <w:sz w:val="44"/>
          <w:szCs w:val="36"/>
        </w:rPr>
      </w:pPr>
    </w:p>
    <w:p w14:paraId="6282F9D9">
      <w:pPr>
        <w:spacing w:line="500" w:lineRule="exact"/>
        <w:ind w:firstLine="3080" w:firstLineChars="700"/>
        <w:rPr>
          <w:rFonts w:ascii="黑体" w:hAnsi="宋体" w:eastAsia="黑体" w:cs="Times New Roman"/>
          <w:sz w:val="44"/>
          <w:szCs w:val="36"/>
        </w:rPr>
      </w:pPr>
      <w:r>
        <w:rPr>
          <w:rFonts w:hint="eastAsia" w:ascii="黑体" w:hAnsi="宋体" w:eastAsia="黑体" w:cs="Times New Roman"/>
          <w:sz w:val="44"/>
          <w:szCs w:val="36"/>
        </w:rPr>
        <w:t>成交确认书</w:t>
      </w:r>
    </w:p>
    <w:p w14:paraId="40F9BD53">
      <w:pPr>
        <w:spacing w:line="500" w:lineRule="exact"/>
        <w:jc w:val="center"/>
        <w:rPr>
          <w:rFonts w:ascii="仿宋_GB2312" w:hAnsi="Times New Roman" w:eastAsia="仿宋_GB2312" w:cs="Times New Roman"/>
          <w:sz w:val="32"/>
          <w:szCs w:val="36"/>
        </w:rPr>
      </w:pPr>
    </w:p>
    <w:p w14:paraId="3414D4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Times New Roman"/>
          <w:sz w:val="32"/>
          <w:szCs w:val="24"/>
        </w:rPr>
      </w:pPr>
      <w:r>
        <w:rPr>
          <w:rFonts w:hint="eastAsia" w:ascii="仿宋" w:hAnsi="仿宋" w:eastAsia="仿宋" w:cs="Times New Roman"/>
          <w:sz w:val="32"/>
          <w:szCs w:val="24"/>
        </w:rPr>
        <w:t>挂牌人于</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4</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1</w:t>
      </w:r>
      <w:r>
        <w:rPr>
          <w:rFonts w:hint="eastAsia" w:ascii="仿宋" w:hAnsi="仿宋" w:eastAsia="仿宋" w:cs="Times New Roman"/>
          <w:sz w:val="32"/>
          <w:szCs w:val="24"/>
        </w:rPr>
        <w:t>日至</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4</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14</w:t>
      </w:r>
      <w:r>
        <w:rPr>
          <w:rFonts w:hint="eastAsia" w:ascii="仿宋" w:hAnsi="仿宋" w:eastAsia="仿宋" w:cs="Times New Roman"/>
          <w:sz w:val="32"/>
          <w:szCs w:val="24"/>
        </w:rPr>
        <w:t>日在大冶市公共资源交易中心举办的</w:t>
      </w:r>
      <w:r>
        <w:rPr>
          <w:rFonts w:hint="eastAsia" w:ascii="仿宋" w:hAnsi="仿宋" w:eastAsia="仿宋" w:cs="仿宋"/>
          <w:sz w:val="32"/>
          <w:szCs w:val="32"/>
          <w:lang w:val="en-US" w:eastAsia="zh-CN"/>
        </w:rPr>
        <w:t>农村集体经营性</w:t>
      </w:r>
      <w:r>
        <w:rPr>
          <w:rFonts w:hint="eastAsia" w:ascii="仿宋" w:hAnsi="仿宋" w:eastAsia="仿宋" w:cs="Times New Roman"/>
          <w:sz w:val="32"/>
          <w:szCs w:val="24"/>
        </w:rPr>
        <w:t>建设用地使用权挂牌出让活动中</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竞得编号</w:t>
      </w:r>
      <w:r>
        <w:rPr>
          <w:rFonts w:hint="eastAsia" w:ascii="仿宋" w:hAnsi="仿宋" w:eastAsia="仿宋" w:cs="Times New Roman"/>
          <w:sz w:val="32"/>
          <w:szCs w:val="24"/>
          <w:u w:val="single"/>
          <w:lang w:val="en-US" w:eastAsia="zh-CN"/>
        </w:rPr>
        <w:t>2026001</w:t>
      </w:r>
      <w:r>
        <w:rPr>
          <w:rFonts w:hint="eastAsia" w:ascii="仿宋" w:hAnsi="仿宋" w:eastAsia="仿宋" w:cs="Times New Roman"/>
          <w:sz w:val="32"/>
          <w:szCs w:val="24"/>
        </w:rPr>
        <w:t>号地块的</w:t>
      </w:r>
      <w:r>
        <w:rPr>
          <w:rFonts w:hint="eastAsia" w:ascii="仿宋" w:hAnsi="仿宋" w:eastAsia="仿宋" w:cs="Times New Roman"/>
          <w:sz w:val="32"/>
          <w:szCs w:val="24"/>
          <w:lang w:val="en-US" w:eastAsia="zh-CN"/>
        </w:rPr>
        <w:t>集体经营性</w:t>
      </w:r>
      <w:r>
        <w:rPr>
          <w:rFonts w:hint="eastAsia" w:ascii="仿宋" w:hAnsi="仿宋" w:eastAsia="仿宋" w:cs="Times New Roman"/>
          <w:sz w:val="32"/>
          <w:szCs w:val="24"/>
        </w:rPr>
        <w:t>建设用地使用权。现将有关事项确认如下：</w:t>
      </w:r>
    </w:p>
    <w:p w14:paraId="7DA7ADCA">
      <w:pPr>
        <w:spacing w:line="440" w:lineRule="exact"/>
        <w:ind w:firstLine="1920" w:firstLineChars="600"/>
        <w:jc w:val="both"/>
        <w:rPr>
          <w:rFonts w:ascii="仿宋" w:hAnsi="仿宋" w:eastAsia="仿宋" w:cs="Times New Roman"/>
          <w:sz w:val="32"/>
          <w:szCs w:val="24"/>
        </w:rPr>
      </w:pPr>
      <w:r>
        <w:rPr>
          <w:rFonts w:hint="eastAsia" w:ascii="仿宋" w:hAnsi="仿宋" w:eastAsia="仿宋" w:cs="Times New Roman"/>
          <w:sz w:val="32"/>
          <w:szCs w:val="24"/>
        </w:rPr>
        <w:t>该地块成交单价为每平方米人民币</w:t>
      </w:r>
      <w:r>
        <w:rPr>
          <w:rFonts w:hint="eastAsia" w:ascii="仿宋" w:hAnsi="仿宋" w:eastAsia="仿宋" w:cs="Times New Roman"/>
          <w:sz w:val="32"/>
          <w:szCs w:val="24"/>
          <w:lang w:val="en-US" w:eastAsia="zh-CN"/>
        </w:rPr>
        <w:t>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。总价为人民币大写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rPr>
        <w:t>竞得人交纳的竞买保证金在挂牌成交后转作受让地块的定金。竞得人应当在挂牌成交30日内，持本《成交确认书》与</w:t>
      </w:r>
      <w:r>
        <w:rPr>
          <w:rFonts w:hint="eastAsia" w:ascii="仿宋" w:hAnsi="仿宋" w:eastAsia="仿宋"/>
          <w:color w:val="FF0000"/>
          <w:sz w:val="32"/>
          <w:szCs w:val="32"/>
        </w:rPr>
        <w:t>大冶市</w:t>
      </w:r>
      <w:r>
        <w:rPr>
          <w:rFonts w:hint="eastAsia" w:ascii="仿宋" w:hAnsi="仿宋" w:eastAsia="仿宋"/>
          <w:color w:val="FF0000"/>
          <w:sz w:val="32"/>
          <w:szCs w:val="32"/>
          <w:lang w:val="en-US" w:eastAsia="zh-CN"/>
        </w:rPr>
        <w:t>还地桥镇马石村村民委员会</w:t>
      </w:r>
      <w:r>
        <w:rPr>
          <w:rFonts w:hint="eastAsia" w:ascii="仿宋" w:hAnsi="仿宋" w:eastAsia="仿宋" w:cs="Times New Roman"/>
          <w:sz w:val="32"/>
          <w:szCs w:val="24"/>
        </w:rPr>
        <w:t>签订《</w:t>
      </w:r>
      <w:r>
        <w:rPr>
          <w:rFonts w:hint="eastAsia" w:ascii="仿宋" w:hAnsi="仿宋" w:eastAsia="仿宋" w:cs="仿宋"/>
          <w:sz w:val="32"/>
          <w:szCs w:val="32"/>
          <w:lang w:val="en-US" w:eastAsia="zh-CN"/>
        </w:rPr>
        <w:t>集体经营性</w:t>
      </w:r>
      <w:r>
        <w:rPr>
          <w:rFonts w:hint="eastAsia" w:ascii="仿宋" w:hAnsi="仿宋" w:eastAsia="仿宋" w:cs="Times New Roman"/>
          <w:sz w:val="32"/>
          <w:szCs w:val="24"/>
        </w:rPr>
        <w:t>建设用地使用权出让合同》</w:t>
      </w:r>
      <w:r>
        <w:rPr>
          <w:rFonts w:hint="eastAsia" w:ascii="仿宋" w:hAnsi="仿宋" w:eastAsia="仿宋" w:cs="Times New Roman"/>
          <w:sz w:val="32"/>
          <w:szCs w:val="24"/>
          <w:lang w:eastAsia="zh-CN"/>
        </w:rPr>
        <w:t>《</w:t>
      </w:r>
      <w:r>
        <w:rPr>
          <w:rFonts w:hint="eastAsia" w:ascii="仿宋" w:hAnsi="仿宋" w:eastAsia="仿宋" w:cs="Times New Roman"/>
          <w:sz w:val="32"/>
          <w:szCs w:val="24"/>
          <w:lang w:val="en-US" w:eastAsia="zh-CN"/>
        </w:rPr>
        <w:t>集体经营性建设用地出让监管协议</w:t>
      </w:r>
      <w:r>
        <w:rPr>
          <w:rFonts w:hint="eastAsia" w:ascii="仿宋" w:hAnsi="仿宋" w:eastAsia="仿宋" w:cs="Times New Roman"/>
          <w:sz w:val="32"/>
          <w:szCs w:val="24"/>
          <w:lang w:eastAsia="zh-CN"/>
        </w:rPr>
        <w:t>》</w:t>
      </w:r>
      <w:r>
        <w:rPr>
          <w:rFonts w:hint="eastAsia" w:ascii="仿宋" w:hAnsi="仿宋" w:eastAsia="仿宋" w:cs="Times New Roman"/>
          <w:sz w:val="32"/>
          <w:szCs w:val="24"/>
        </w:rPr>
        <w:t>。不按期签订《</w:t>
      </w:r>
      <w:r>
        <w:rPr>
          <w:rFonts w:hint="eastAsia" w:ascii="仿宋" w:hAnsi="仿宋" w:eastAsia="仿宋" w:cs="仿宋"/>
          <w:sz w:val="32"/>
          <w:szCs w:val="32"/>
          <w:lang w:val="en-US" w:eastAsia="zh-CN"/>
        </w:rPr>
        <w:t>集体经营性</w:t>
      </w:r>
      <w:r>
        <w:rPr>
          <w:rFonts w:hint="eastAsia" w:ascii="仿宋" w:hAnsi="仿宋" w:eastAsia="仿宋" w:cs="Times New Roman"/>
          <w:sz w:val="32"/>
          <w:szCs w:val="24"/>
        </w:rPr>
        <w:t>建设用地使用权出让合同》</w:t>
      </w:r>
      <w:r>
        <w:rPr>
          <w:rFonts w:hint="eastAsia" w:ascii="仿宋" w:hAnsi="仿宋" w:eastAsia="仿宋" w:cs="Times New Roman"/>
          <w:sz w:val="32"/>
          <w:szCs w:val="24"/>
          <w:lang w:eastAsia="zh-CN"/>
        </w:rPr>
        <w:t>《</w:t>
      </w:r>
      <w:r>
        <w:rPr>
          <w:rFonts w:hint="eastAsia" w:ascii="仿宋" w:hAnsi="仿宋" w:eastAsia="仿宋" w:cs="Times New Roman"/>
          <w:sz w:val="32"/>
          <w:szCs w:val="24"/>
          <w:lang w:val="en-US" w:eastAsia="zh-CN"/>
        </w:rPr>
        <w:t>集体经营性建设用地出让监管协议</w:t>
      </w:r>
      <w:r>
        <w:rPr>
          <w:rFonts w:hint="eastAsia" w:ascii="仿宋" w:hAnsi="仿宋" w:eastAsia="仿宋" w:cs="Times New Roman"/>
          <w:sz w:val="32"/>
          <w:szCs w:val="24"/>
          <w:lang w:eastAsia="zh-CN"/>
        </w:rPr>
        <w:t>》</w:t>
      </w:r>
      <w:r>
        <w:rPr>
          <w:rFonts w:hint="eastAsia" w:ascii="仿宋" w:hAnsi="仿宋" w:eastAsia="仿宋" w:cs="Times New Roman"/>
          <w:sz w:val="32"/>
          <w:szCs w:val="24"/>
        </w:rPr>
        <w:t>的，视为竞得人放弃竞得资格，竞得人应承担相应法律责任。</w:t>
      </w:r>
    </w:p>
    <w:p w14:paraId="7A963210">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本《成交确认书》一式</w:t>
      </w:r>
      <w:r>
        <w:rPr>
          <w:rFonts w:hint="eastAsia" w:ascii="仿宋" w:hAnsi="仿宋" w:eastAsia="仿宋" w:cs="Times New Roman"/>
          <w:sz w:val="32"/>
          <w:szCs w:val="24"/>
          <w:lang w:val="en-US" w:eastAsia="zh-CN"/>
        </w:rPr>
        <w:t>伍</w:t>
      </w:r>
      <w:r>
        <w:rPr>
          <w:rFonts w:hint="eastAsia" w:ascii="仿宋" w:hAnsi="仿宋" w:eastAsia="仿宋" w:cs="Times New Roman"/>
          <w:sz w:val="32"/>
          <w:szCs w:val="24"/>
        </w:rPr>
        <w:t>份，挂牌人执贰份，竞得人执贰份，</w:t>
      </w:r>
      <w:r>
        <w:rPr>
          <w:rFonts w:hint="eastAsia" w:ascii="仿宋" w:hAnsi="仿宋" w:eastAsia="仿宋" w:cs="Times New Roman"/>
          <w:sz w:val="32"/>
          <w:szCs w:val="24"/>
          <w:lang w:val="en-US" w:eastAsia="zh-CN"/>
        </w:rPr>
        <w:t>出让人壹份</w:t>
      </w:r>
      <w:r>
        <w:rPr>
          <w:rFonts w:hint="eastAsia" w:ascii="仿宋" w:hAnsi="仿宋" w:eastAsia="仿宋" w:cs="Times New Roman"/>
          <w:sz w:val="32"/>
          <w:szCs w:val="24"/>
        </w:rPr>
        <w:t xml:space="preserve">。  </w:t>
      </w:r>
    </w:p>
    <w:p w14:paraId="2BD3E94A">
      <w:pPr>
        <w:spacing w:line="500" w:lineRule="exact"/>
        <w:ind w:firstLine="640" w:firstLineChars="200"/>
        <w:rPr>
          <w:rFonts w:ascii="仿宋" w:hAnsi="仿宋" w:eastAsia="仿宋" w:cs="Times New Roman"/>
          <w:sz w:val="32"/>
          <w:szCs w:val="44"/>
        </w:rPr>
      </w:pPr>
      <w:r>
        <w:rPr>
          <w:rFonts w:hint="eastAsia" w:ascii="仿宋" w:hAnsi="仿宋" w:eastAsia="仿宋" w:cs="Times New Roman"/>
          <w:sz w:val="32"/>
          <w:szCs w:val="44"/>
        </w:rPr>
        <w:t>特此确认。</w:t>
      </w:r>
    </w:p>
    <w:p w14:paraId="67B0A345">
      <w:pPr>
        <w:spacing w:line="500" w:lineRule="exact"/>
        <w:rPr>
          <w:rFonts w:ascii="仿宋" w:hAnsi="仿宋" w:eastAsia="仿宋" w:cs="Times New Roman"/>
          <w:sz w:val="32"/>
          <w:szCs w:val="44"/>
        </w:rPr>
      </w:pPr>
      <w:r>
        <w:rPr>
          <w:rFonts w:hint="eastAsia" w:ascii="仿宋" w:hAnsi="仿宋" w:eastAsia="仿宋" w:cs="Times New Roman"/>
          <w:sz w:val="32"/>
          <w:szCs w:val="44"/>
        </w:rPr>
        <w:t>出让人（盖章）：      挂牌人（盖章）：   竞得人（盖章）：</w:t>
      </w:r>
    </w:p>
    <w:p w14:paraId="633A77DE">
      <w:pPr>
        <w:spacing w:line="500" w:lineRule="exact"/>
        <w:jc w:val="left"/>
        <w:rPr>
          <w:rFonts w:ascii="仿宋" w:hAnsi="仿宋" w:eastAsia="仿宋"/>
          <w:spacing w:val="-16"/>
          <w:sz w:val="28"/>
          <w:szCs w:val="28"/>
        </w:rPr>
      </w:pPr>
    </w:p>
    <w:p w14:paraId="336180E5">
      <w:pPr>
        <w:spacing w:line="500" w:lineRule="exact"/>
        <w:jc w:val="left"/>
        <w:rPr>
          <w:rFonts w:ascii="仿宋" w:hAnsi="仿宋" w:eastAsia="仿宋"/>
          <w:sz w:val="30"/>
          <w:szCs w:val="30"/>
        </w:rPr>
      </w:pPr>
      <w:r>
        <w:rPr>
          <w:rFonts w:hint="eastAsia" w:ascii="仿宋" w:hAnsi="仿宋" w:eastAsia="仿宋"/>
          <w:sz w:val="30"/>
          <w:szCs w:val="30"/>
        </w:rPr>
        <w:t>(签字)：</w:t>
      </w:r>
      <w:r>
        <w:rPr>
          <w:rFonts w:hint="eastAsia" w:ascii="仿宋" w:hAnsi="仿宋" w:eastAsia="仿宋"/>
          <w:sz w:val="30"/>
          <w:szCs w:val="30"/>
        </w:rPr>
        <w:tab/>
      </w:r>
      <w:r>
        <w:rPr>
          <w:rFonts w:hint="eastAsia" w:ascii="仿宋" w:hAnsi="仿宋" w:eastAsia="仿宋"/>
          <w:sz w:val="30"/>
          <w:szCs w:val="30"/>
        </w:rPr>
        <w:t xml:space="preserve">             (签字):              (签字):</w:t>
      </w:r>
    </w:p>
    <w:p w14:paraId="38D2C3AD">
      <w:pPr>
        <w:spacing w:line="500" w:lineRule="exact"/>
        <w:ind w:right="600" w:firstLine="3900" w:firstLineChars="1500"/>
        <w:rPr>
          <w:rFonts w:ascii="仿宋" w:hAnsi="仿宋" w:eastAsia="仿宋"/>
          <w:spacing w:val="-10"/>
          <w:sz w:val="28"/>
          <w:szCs w:val="28"/>
        </w:rPr>
      </w:pPr>
    </w:p>
    <w:p w14:paraId="0FD5748A">
      <w:pPr>
        <w:spacing w:line="500" w:lineRule="exact"/>
        <w:ind w:right="600" w:firstLine="4500" w:firstLineChars="1500"/>
        <w:rPr>
          <w:rFonts w:ascii="仿宋" w:hAnsi="仿宋" w:eastAsia="仿宋" w:cs="Times New Roman"/>
          <w:spacing w:val="-10"/>
          <w:sz w:val="32"/>
          <w:szCs w:val="24"/>
        </w:rPr>
      </w:pPr>
    </w:p>
    <w:p w14:paraId="383FE962">
      <w:pPr>
        <w:spacing w:line="500" w:lineRule="exact"/>
        <w:ind w:right="600" w:firstLine="1280" w:firstLineChars="400"/>
        <w:jc w:val="both"/>
        <w:rPr>
          <w:rFonts w:ascii="仿宋" w:hAnsi="仿宋" w:eastAsia="仿宋" w:cs="Times New Roman"/>
          <w:sz w:val="32"/>
          <w:szCs w:val="24"/>
        </w:rPr>
      </w:pPr>
      <w:r>
        <w:rPr>
          <w:rFonts w:hint="eastAsia" w:ascii="仿宋" w:hAnsi="仿宋" w:eastAsia="仿宋" w:cs="Times New Roman"/>
          <w:sz w:val="32"/>
          <w:szCs w:val="24"/>
          <w:lang w:val="en-US" w:eastAsia="zh-CN"/>
        </w:rPr>
        <w:t xml:space="preserve">                  </w:t>
      </w:r>
      <w:r>
        <w:rPr>
          <w:rFonts w:hint="eastAsia" w:ascii="仿宋" w:hAnsi="仿宋" w:eastAsia="仿宋" w:cs="Times New Roman"/>
          <w:sz w:val="32"/>
          <w:szCs w:val="24"/>
        </w:rPr>
        <w:t>二〇二</w:t>
      </w:r>
      <w:r>
        <w:rPr>
          <w:rFonts w:hint="eastAsia" w:ascii="仿宋" w:hAnsi="仿宋" w:eastAsia="仿宋" w:cs="Times New Roman"/>
          <w:sz w:val="32"/>
          <w:szCs w:val="24"/>
          <w:lang w:val="en-US" w:eastAsia="zh-CN"/>
        </w:rPr>
        <w:t>六</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四月十四</w:t>
      </w:r>
      <w:r>
        <w:rPr>
          <w:rFonts w:hint="eastAsia" w:ascii="仿宋" w:hAnsi="仿宋" w:eastAsia="仿宋" w:cs="Times New Roman"/>
          <w:sz w:val="32"/>
          <w:szCs w:val="24"/>
        </w:rPr>
        <w:t>日</w:t>
      </w:r>
    </w:p>
    <w:p w14:paraId="5B1BCA83"/>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4478270"/>
    </w:sdtPr>
    <w:sdtContent>
      <w:p w14:paraId="3F08644B">
        <w:pPr>
          <w:pStyle w:val="4"/>
          <w:jc w:val="center"/>
        </w:pPr>
        <w:r>
          <w:fldChar w:fldCharType="begin"/>
        </w:r>
        <w:r>
          <w:instrText xml:space="preserve">PAGE   \* MERGEFORMAT</w:instrText>
        </w:r>
        <w:r>
          <w:fldChar w:fldCharType="separate"/>
        </w:r>
        <w:r>
          <w:rPr>
            <w:lang w:val="zh-CN"/>
          </w:rPr>
          <w:t>15</w:t>
        </w:r>
        <w:r>
          <w:rPr>
            <w:lang w:val="zh-CN"/>
          </w:rPr>
          <w:fldChar w:fldCharType="end"/>
        </w:r>
      </w:p>
    </w:sdtContent>
  </w:sdt>
  <w:p w14:paraId="5D873F99">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B1A11">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21E53"/>
    <w:multiLevelType w:val="multilevel"/>
    <w:tmpl w:val="5C921E53"/>
    <w:lvl w:ilvl="0" w:tentative="0">
      <w:start w:val="1"/>
      <w:numFmt w:val="japaneseCounting"/>
      <w:lvlText w:val="%1、"/>
      <w:lvlJc w:val="left"/>
      <w:pPr>
        <w:tabs>
          <w:tab w:val="left" w:pos="1360"/>
        </w:tabs>
        <w:ind w:left="13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B9B5BFE"/>
    <w:multiLevelType w:val="multilevel"/>
    <w:tmpl w:val="6B9B5BFE"/>
    <w:lvl w:ilvl="0" w:tentative="0">
      <w:start w:val="1"/>
      <w:numFmt w:val="japaneseCounting"/>
      <w:lvlText w:val="%1、"/>
      <w:lvlJc w:val="left"/>
      <w:pPr>
        <w:tabs>
          <w:tab w:val="left" w:pos="1365"/>
        </w:tabs>
        <w:ind w:left="1365"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YzIwOTA2MDQyYmUyOGZkNDJhMzNiZDQ2ODljMTMifQ=="/>
  </w:docVars>
  <w:rsids>
    <w:rsidRoot w:val="00000000"/>
    <w:rsid w:val="00481283"/>
    <w:rsid w:val="012D0479"/>
    <w:rsid w:val="02345CFD"/>
    <w:rsid w:val="033B7D3F"/>
    <w:rsid w:val="04772BFA"/>
    <w:rsid w:val="051A6978"/>
    <w:rsid w:val="053F69CD"/>
    <w:rsid w:val="054B5D3E"/>
    <w:rsid w:val="05520845"/>
    <w:rsid w:val="05AF3BA0"/>
    <w:rsid w:val="06652C37"/>
    <w:rsid w:val="06C64C61"/>
    <w:rsid w:val="072E5245"/>
    <w:rsid w:val="07B86581"/>
    <w:rsid w:val="07E27C08"/>
    <w:rsid w:val="08144664"/>
    <w:rsid w:val="0856029A"/>
    <w:rsid w:val="08DB79DA"/>
    <w:rsid w:val="093920B1"/>
    <w:rsid w:val="093F52CC"/>
    <w:rsid w:val="09410AB7"/>
    <w:rsid w:val="09A3752A"/>
    <w:rsid w:val="0AAB6C74"/>
    <w:rsid w:val="0AE95411"/>
    <w:rsid w:val="0B3C2F5C"/>
    <w:rsid w:val="0B4F6AFA"/>
    <w:rsid w:val="0B553151"/>
    <w:rsid w:val="0B653969"/>
    <w:rsid w:val="0B6D7205"/>
    <w:rsid w:val="0BEB4A20"/>
    <w:rsid w:val="0C7130C3"/>
    <w:rsid w:val="0CDA1D52"/>
    <w:rsid w:val="0CFD1647"/>
    <w:rsid w:val="0D777118"/>
    <w:rsid w:val="0DA24C10"/>
    <w:rsid w:val="0E6C5FC7"/>
    <w:rsid w:val="0F16079E"/>
    <w:rsid w:val="10A67B07"/>
    <w:rsid w:val="11247CDE"/>
    <w:rsid w:val="11701F41"/>
    <w:rsid w:val="11D51647"/>
    <w:rsid w:val="121F39F3"/>
    <w:rsid w:val="1281696B"/>
    <w:rsid w:val="12CC5D44"/>
    <w:rsid w:val="12DC0526"/>
    <w:rsid w:val="13433B2C"/>
    <w:rsid w:val="1356385F"/>
    <w:rsid w:val="13960997"/>
    <w:rsid w:val="145A2D69"/>
    <w:rsid w:val="14A72471"/>
    <w:rsid w:val="150F1718"/>
    <w:rsid w:val="1524496D"/>
    <w:rsid w:val="15263BEF"/>
    <w:rsid w:val="157E3CAF"/>
    <w:rsid w:val="15A57A6B"/>
    <w:rsid w:val="15AD2EDA"/>
    <w:rsid w:val="15FB28AF"/>
    <w:rsid w:val="161E261F"/>
    <w:rsid w:val="165056F7"/>
    <w:rsid w:val="16B054FA"/>
    <w:rsid w:val="16B94CBF"/>
    <w:rsid w:val="17ED1558"/>
    <w:rsid w:val="186364ED"/>
    <w:rsid w:val="18D84A10"/>
    <w:rsid w:val="18F346E4"/>
    <w:rsid w:val="18F64986"/>
    <w:rsid w:val="196029B7"/>
    <w:rsid w:val="19811D65"/>
    <w:rsid w:val="1997072D"/>
    <w:rsid w:val="199B6470"/>
    <w:rsid w:val="19AD1CFF"/>
    <w:rsid w:val="19C92BD5"/>
    <w:rsid w:val="1A21112C"/>
    <w:rsid w:val="1A772A39"/>
    <w:rsid w:val="1B090296"/>
    <w:rsid w:val="1B0D4C89"/>
    <w:rsid w:val="1C19082C"/>
    <w:rsid w:val="1C666DF3"/>
    <w:rsid w:val="1C701326"/>
    <w:rsid w:val="1C9378D2"/>
    <w:rsid w:val="1CC10D58"/>
    <w:rsid w:val="1D990682"/>
    <w:rsid w:val="1E6619D4"/>
    <w:rsid w:val="1E8E0351"/>
    <w:rsid w:val="1F070E16"/>
    <w:rsid w:val="1F3B070C"/>
    <w:rsid w:val="1F6C0A42"/>
    <w:rsid w:val="1F6D1A7F"/>
    <w:rsid w:val="1F98478E"/>
    <w:rsid w:val="215F64D7"/>
    <w:rsid w:val="216D7D34"/>
    <w:rsid w:val="21A00EFC"/>
    <w:rsid w:val="21B10C1A"/>
    <w:rsid w:val="21D21292"/>
    <w:rsid w:val="22407639"/>
    <w:rsid w:val="22534504"/>
    <w:rsid w:val="23026E61"/>
    <w:rsid w:val="24961DEE"/>
    <w:rsid w:val="25420FF5"/>
    <w:rsid w:val="254774AC"/>
    <w:rsid w:val="258A7645"/>
    <w:rsid w:val="258C1362"/>
    <w:rsid w:val="25FD1125"/>
    <w:rsid w:val="26122589"/>
    <w:rsid w:val="261E2B7C"/>
    <w:rsid w:val="267C13D7"/>
    <w:rsid w:val="26BC3777"/>
    <w:rsid w:val="26C94B09"/>
    <w:rsid w:val="26D20D42"/>
    <w:rsid w:val="27754412"/>
    <w:rsid w:val="282859CE"/>
    <w:rsid w:val="2898210C"/>
    <w:rsid w:val="28AD28C3"/>
    <w:rsid w:val="28CD5DAE"/>
    <w:rsid w:val="29220DBF"/>
    <w:rsid w:val="2964062C"/>
    <w:rsid w:val="29694201"/>
    <w:rsid w:val="298A55BA"/>
    <w:rsid w:val="2A5A37DD"/>
    <w:rsid w:val="2B7078A9"/>
    <w:rsid w:val="2B797C93"/>
    <w:rsid w:val="2B835C6A"/>
    <w:rsid w:val="2BB562B2"/>
    <w:rsid w:val="2C487650"/>
    <w:rsid w:val="2CA34255"/>
    <w:rsid w:val="2CAC71CE"/>
    <w:rsid w:val="2D2551C7"/>
    <w:rsid w:val="2D4A08B7"/>
    <w:rsid w:val="2D99286E"/>
    <w:rsid w:val="2DA3549B"/>
    <w:rsid w:val="2E6E1DEB"/>
    <w:rsid w:val="2EF210BE"/>
    <w:rsid w:val="2EF513BC"/>
    <w:rsid w:val="300A0177"/>
    <w:rsid w:val="3029612C"/>
    <w:rsid w:val="305A0518"/>
    <w:rsid w:val="30C054C9"/>
    <w:rsid w:val="310B050C"/>
    <w:rsid w:val="314E4E0D"/>
    <w:rsid w:val="31AA05C3"/>
    <w:rsid w:val="31CE6D80"/>
    <w:rsid w:val="31F85822"/>
    <w:rsid w:val="324646E0"/>
    <w:rsid w:val="325E11A2"/>
    <w:rsid w:val="32921679"/>
    <w:rsid w:val="333B47E0"/>
    <w:rsid w:val="34D50C24"/>
    <w:rsid w:val="34E41B80"/>
    <w:rsid w:val="35A736FB"/>
    <w:rsid w:val="35A775AF"/>
    <w:rsid w:val="35B2606A"/>
    <w:rsid w:val="35BC534C"/>
    <w:rsid w:val="35E86ED0"/>
    <w:rsid w:val="375876B7"/>
    <w:rsid w:val="375E0A71"/>
    <w:rsid w:val="37872AAF"/>
    <w:rsid w:val="38773ED4"/>
    <w:rsid w:val="38CF7178"/>
    <w:rsid w:val="3A002C48"/>
    <w:rsid w:val="3AA70471"/>
    <w:rsid w:val="3BB56AAA"/>
    <w:rsid w:val="3BFA2ECD"/>
    <w:rsid w:val="3C5E0F0B"/>
    <w:rsid w:val="3CCD2CF9"/>
    <w:rsid w:val="3D9719CB"/>
    <w:rsid w:val="3DCB7999"/>
    <w:rsid w:val="3E8A1509"/>
    <w:rsid w:val="3E92290D"/>
    <w:rsid w:val="3EA42E21"/>
    <w:rsid w:val="3F082E96"/>
    <w:rsid w:val="3F0F55F7"/>
    <w:rsid w:val="3F4B5D34"/>
    <w:rsid w:val="3FAD3F9E"/>
    <w:rsid w:val="40786313"/>
    <w:rsid w:val="408E28DC"/>
    <w:rsid w:val="417C1E33"/>
    <w:rsid w:val="41A81F39"/>
    <w:rsid w:val="41CA3CE2"/>
    <w:rsid w:val="42085A96"/>
    <w:rsid w:val="423573F8"/>
    <w:rsid w:val="423D525F"/>
    <w:rsid w:val="423D61B4"/>
    <w:rsid w:val="42D10AAD"/>
    <w:rsid w:val="42E979D1"/>
    <w:rsid w:val="42EE7A7C"/>
    <w:rsid w:val="431E7A2C"/>
    <w:rsid w:val="432D67EC"/>
    <w:rsid w:val="43545F0C"/>
    <w:rsid w:val="439711A6"/>
    <w:rsid w:val="439A7DF9"/>
    <w:rsid w:val="43F379F6"/>
    <w:rsid w:val="449F30AE"/>
    <w:rsid w:val="44CA0899"/>
    <w:rsid w:val="44EF0236"/>
    <w:rsid w:val="450212F5"/>
    <w:rsid w:val="45613980"/>
    <w:rsid w:val="465D59BC"/>
    <w:rsid w:val="4673410A"/>
    <w:rsid w:val="46BF1CD2"/>
    <w:rsid w:val="480D11C2"/>
    <w:rsid w:val="482F6902"/>
    <w:rsid w:val="48867708"/>
    <w:rsid w:val="48F602F7"/>
    <w:rsid w:val="48F61EC7"/>
    <w:rsid w:val="494E5F58"/>
    <w:rsid w:val="49690EEF"/>
    <w:rsid w:val="498524A6"/>
    <w:rsid w:val="499043F5"/>
    <w:rsid w:val="4A860D5D"/>
    <w:rsid w:val="4A886AA5"/>
    <w:rsid w:val="4AA55D5E"/>
    <w:rsid w:val="4ACB6797"/>
    <w:rsid w:val="4AE13C24"/>
    <w:rsid w:val="4B40172D"/>
    <w:rsid w:val="4B645E12"/>
    <w:rsid w:val="4B7672B8"/>
    <w:rsid w:val="4B923DFA"/>
    <w:rsid w:val="4BF21670"/>
    <w:rsid w:val="4BFC7632"/>
    <w:rsid w:val="4C5E6BD4"/>
    <w:rsid w:val="4C5F318E"/>
    <w:rsid w:val="4C9F2326"/>
    <w:rsid w:val="4CA04F82"/>
    <w:rsid w:val="4D2D0FB2"/>
    <w:rsid w:val="4D6516C3"/>
    <w:rsid w:val="4D6C211C"/>
    <w:rsid w:val="4DA5131B"/>
    <w:rsid w:val="4E04568A"/>
    <w:rsid w:val="4E2E566B"/>
    <w:rsid w:val="4E8B7C66"/>
    <w:rsid w:val="4EAB46C8"/>
    <w:rsid w:val="4F115A29"/>
    <w:rsid w:val="4F6F148B"/>
    <w:rsid w:val="4F76442D"/>
    <w:rsid w:val="4F7B0EEE"/>
    <w:rsid w:val="5051143D"/>
    <w:rsid w:val="50764B2B"/>
    <w:rsid w:val="50A33384"/>
    <w:rsid w:val="50FF6581"/>
    <w:rsid w:val="511B37A3"/>
    <w:rsid w:val="51217276"/>
    <w:rsid w:val="5124425E"/>
    <w:rsid w:val="522946B2"/>
    <w:rsid w:val="529D0575"/>
    <w:rsid w:val="52B07B8F"/>
    <w:rsid w:val="538452A3"/>
    <w:rsid w:val="539D45B7"/>
    <w:rsid w:val="53FC2F11"/>
    <w:rsid w:val="541D4849"/>
    <w:rsid w:val="541D7284"/>
    <w:rsid w:val="545654C8"/>
    <w:rsid w:val="5489170D"/>
    <w:rsid w:val="54B35350"/>
    <w:rsid w:val="552F123F"/>
    <w:rsid w:val="553B5C67"/>
    <w:rsid w:val="553E76D4"/>
    <w:rsid w:val="55A0016C"/>
    <w:rsid w:val="56B44EFA"/>
    <w:rsid w:val="56E754EB"/>
    <w:rsid w:val="57687F56"/>
    <w:rsid w:val="57E5652D"/>
    <w:rsid w:val="583E1337"/>
    <w:rsid w:val="597E09E7"/>
    <w:rsid w:val="5A0F2EE1"/>
    <w:rsid w:val="5A1C44FC"/>
    <w:rsid w:val="5A2A165F"/>
    <w:rsid w:val="5AE10D59"/>
    <w:rsid w:val="5B197EB2"/>
    <w:rsid w:val="5B91493A"/>
    <w:rsid w:val="5B9E35F9"/>
    <w:rsid w:val="5BB4242C"/>
    <w:rsid w:val="5C4B74E0"/>
    <w:rsid w:val="5CB87D6C"/>
    <w:rsid w:val="5DC25247"/>
    <w:rsid w:val="5DF41277"/>
    <w:rsid w:val="5E745F14"/>
    <w:rsid w:val="5F02618A"/>
    <w:rsid w:val="5F034171"/>
    <w:rsid w:val="5FBC1C73"/>
    <w:rsid w:val="601B0D3D"/>
    <w:rsid w:val="60D76AC7"/>
    <w:rsid w:val="61203680"/>
    <w:rsid w:val="61624591"/>
    <w:rsid w:val="6189617B"/>
    <w:rsid w:val="61D853BD"/>
    <w:rsid w:val="62E5432C"/>
    <w:rsid w:val="63EE3FC5"/>
    <w:rsid w:val="63F51DCE"/>
    <w:rsid w:val="64424DCC"/>
    <w:rsid w:val="644E2FAE"/>
    <w:rsid w:val="646F1658"/>
    <w:rsid w:val="668B3D0A"/>
    <w:rsid w:val="66A34AF4"/>
    <w:rsid w:val="66E14887"/>
    <w:rsid w:val="66EA36E1"/>
    <w:rsid w:val="670E1359"/>
    <w:rsid w:val="678278F4"/>
    <w:rsid w:val="678C4AA2"/>
    <w:rsid w:val="67D24681"/>
    <w:rsid w:val="67F313BF"/>
    <w:rsid w:val="683955B8"/>
    <w:rsid w:val="688C5EB5"/>
    <w:rsid w:val="68E337F0"/>
    <w:rsid w:val="696F5BF9"/>
    <w:rsid w:val="6B064398"/>
    <w:rsid w:val="6B4F4071"/>
    <w:rsid w:val="6B5F111E"/>
    <w:rsid w:val="6BD70BAA"/>
    <w:rsid w:val="6C376B54"/>
    <w:rsid w:val="6C44786E"/>
    <w:rsid w:val="6C4E7490"/>
    <w:rsid w:val="6C82010E"/>
    <w:rsid w:val="6CC4450B"/>
    <w:rsid w:val="6D8141AA"/>
    <w:rsid w:val="6D9C4814"/>
    <w:rsid w:val="6DA06060"/>
    <w:rsid w:val="6E8A5A9E"/>
    <w:rsid w:val="6EC662CB"/>
    <w:rsid w:val="6EE42DEB"/>
    <w:rsid w:val="6FC71338"/>
    <w:rsid w:val="6FF670D1"/>
    <w:rsid w:val="700139DA"/>
    <w:rsid w:val="70512DDB"/>
    <w:rsid w:val="705D7C39"/>
    <w:rsid w:val="70DC32AB"/>
    <w:rsid w:val="713E488C"/>
    <w:rsid w:val="716245C1"/>
    <w:rsid w:val="71745C25"/>
    <w:rsid w:val="720139B1"/>
    <w:rsid w:val="72116582"/>
    <w:rsid w:val="736D6DC6"/>
    <w:rsid w:val="74B46550"/>
    <w:rsid w:val="750D40AB"/>
    <w:rsid w:val="75532011"/>
    <w:rsid w:val="75CD0988"/>
    <w:rsid w:val="75FC6AC3"/>
    <w:rsid w:val="76485D30"/>
    <w:rsid w:val="76670402"/>
    <w:rsid w:val="76682AB5"/>
    <w:rsid w:val="76D5721A"/>
    <w:rsid w:val="773A6E48"/>
    <w:rsid w:val="77524C79"/>
    <w:rsid w:val="778145D0"/>
    <w:rsid w:val="77846D70"/>
    <w:rsid w:val="77DF744E"/>
    <w:rsid w:val="78646112"/>
    <w:rsid w:val="78722FA7"/>
    <w:rsid w:val="78E87191"/>
    <w:rsid w:val="798740C3"/>
    <w:rsid w:val="79B00E9D"/>
    <w:rsid w:val="7A792DD8"/>
    <w:rsid w:val="7A9B68AB"/>
    <w:rsid w:val="7B530FD5"/>
    <w:rsid w:val="7B8B21FA"/>
    <w:rsid w:val="7BEA5B8B"/>
    <w:rsid w:val="7C1F350C"/>
    <w:rsid w:val="7C5559B0"/>
    <w:rsid w:val="7C71234B"/>
    <w:rsid w:val="7C8B6DF3"/>
    <w:rsid w:val="7CB66759"/>
    <w:rsid w:val="7CEF4314"/>
    <w:rsid w:val="7D8A787D"/>
    <w:rsid w:val="7E6243B3"/>
    <w:rsid w:val="7E7A0ECD"/>
    <w:rsid w:val="7E826F9A"/>
    <w:rsid w:val="7E9525EA"/>
    <w:rsid w:val="7F000DD7"/>
    <w:rsid w:val="7F907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540" w:lineRule="exact"/>
      <w:ind w:firstLine="643" w:firstLineChars="200"/>
    </w:pPr>
    <w:rPr>
      <w:rFonts w:eastAsia="仿宋_GB2312"/>
      <w:b/>
      <w:bCs/>
      <w:sz w:val="32"/>
    </w:rPr>
  </w:style>
  <w:style w:type="paragraph" w:styleId="3">
    <w:name w:val="Body Text Indent 2"/>
    <w:basedOn w:val="1"/>
    <w:qFormat/>
    <w:uiPriority w:val="0"/>
    <w:pPr>
      <w:spacing w:line="580" w:lineRule="exact"/>
      <w:ind w:firstLine="640" w:firstLineChars="200"/>
    </w:pPr>
    <w:rPr>
      <w:rFonts w:ascii="仿宋_GB2312" w:eastAsia="仿宋_GB2312"/>
      <w:sz w:val="3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8268</Words>
  <Characters>8666</Characters>
  <Lines>0</Lines>
  <Paragraphs>0</Paragraphs>
  <TotalTime>1</TotalTime>
  <ScaleCrop>false</ScaleCrop>
  <LinksUpToDate>false</LinksUpToDate>
  <CharactersWithSpaces>9213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dc:creator>
  <cp:lastModifiedBy>WPS_1665536116</cp:lastModifiedBy>
  <cp:lastPrinted>2026-03-11T07:45:00Z</cp:lastPrinted>
  <dcterms:modified xsi:type="dcterms:W3CDTF">2026-03-11T08:01:20Z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862B36C797664AD4BCF2CDD85098BB32</vt:lpwstr>
  </property>
  <property fmtid="{D5CDD505-2E9C-101B-9397-08002B2CF9AE}" pid="4" name="KSOTemplateDocerSaveRecord">
    <vt:lpwstr>eyJoZGlkIjoiZmYzMmM2NGUzMTIyMzBhY2ZhMDQ2ZGZkNGJhOTQ1NjkiLCJ1c2VySWQiOiIxNDE4NjQyNzI2In0=</vt:lpwstr>
  </property>
</Properties>
</file>