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66AA9">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textAlignment w:val="auto"/>
        <w:rPr>
          <w:rFonts w:hint="eastAsia" w:ascii="仿宋" w:hAnsi="仿宋" w:eastAsia="仿宋" w:cs="仿宋"/>
          <w:b/>
          <w:bCs/>
          <w:color w:val="auto"/>
          <w:sz w:val="32"/>
          <w:szCs w:val="32"/>
        </w:rPr>
      </w:pPr>
    </w:p>
    <w:p w14:paraId="153280F9">
      <w:pPr>
        <w:keepNext w:val="0"/>
        <w:keepLines w:val="0"/>
        <w:pageBreakBefore w:val="0"/>
        <w:kinsoku/>
        <w:wordWrap/>
        <w:overflowPunct/>
        <w:topLinePunct w:val="0"/>
        <w:autoSpaceDE w:val="0"/>
        <w:autoSpaceDN w:val="0"/>
        <w:bidi w:val="0"/>
        <w:adjustRightInd w:val="0"/>
        <w:spacing w:line="560" w:lineRule="atLeast"/>
        <w:jc w:val="center"/>
        <w:textAlignment w:val="auto"/>
        <w:rPr>
          <w:rFonts w:hint="eastAsia" w:ascii="仿宋" w:hAnsi="仿宋" w:eastAsia="仿宋" w:cs="仿宋"/>
          <w:b/>
          <w:bCs w:val="0"/>
          <w:color w:val="auto"/>
          <w:spacing w:val="-6"/>
          <w:kern w:val="0"/>
          <w:sz w:val="48"/>
          <w:szCs w:val="48"/>
          <w:lang w:val="en-US" w:eastAsia="zh-CN"/>
        </w:rPr>
      </w:pPr>
      <w:r>
        <w:rPr>
          <w:rFonts w:hint="eastAsia" w:ascii="仿宋" w:hAnsi="仿宋" w:eastAsia="仿宋" w:cs="仿宋"/>
          <w:b/>
          <w:bCs w:val="0"/>
          <w:color w:val="auto"/>
          <w:kern w:val="0"/>
          <w:sz w:val="48"/>
          <w:szCs w:val="48"/>
        </w:rPr>
        <w:t>大冶市</w:t>
      </w:r>
      <w:r>
        <w:rPr>
          <w:rFonts w:hint="eastAsia" w:ascii="仿宋" w:hAnsi="仿宋" w:eastAsia="仿宋" w:cs="仿宋"/>
          <w:b/>
          <w:bCs w:val="0"/>
          <w:color w:val="auto"/>
          <w:kern w:val="0"/>
          <w:sz w:val="48"/>
          <w:szCs w:val="48"/>
          <w:lang w:val="en-US" w:eastAsia="zh-CN"/>
        </w:rPr>
        <w:t>8处尾矿库</w:t>
      </w:r>
      <w:r>
        <w:rPr>
          <w:rFonts w:hint="eastAsia" w:ascii="仿宋" w:hAnsi="仿宋" w:eastAsia="仿宋" w:cs="仿宋"/>
          <w:b/>
          <w:bCs w:val="0"/>
          <w:color w:val="auto"/>
          <w:spacing w:val="-6"/>
          <w:kern w:val="0"/>
          <w:sz w:val="48"/>
          <w:szCs w:val="48"/>
        </w:rPr>
        <w:t>固废综合利用处置</w:t>
      </w:r>
      <w:r>
        <w:rPr>
          <w:rFonts w:hint="eastAsia" w:ascii="仿宋" w:hAnsi="仿宋" w:eastAsia="仿宋" w:cs="仿宋"/>
          <w:b/>
          <w:bCs w:val="0"/>
          <w:color w:val="auto"/>
          <w:spacing w:val="-6"/>
          <w:kern w:val="0"/>
          <w:sz w:val="48"/>
          <w:szCs w:val="48"/>
          <w:lang w:val="en-US" w:eastAsia="zh-CN"/>
        </w:rPr>
        <w:t>权</w:t>
      </w:r>
    </w:p>
    <w:p w14:paraId="4E0AC1DA">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华文中宋" w:hAnsi="华文中宋" w:eastAsia="华文中宋" w:cs="华文中宋"/>
          <w:b/>
          <w:bCs w:val="0"/>
          <w:color w:val="auto"/>
          <w:kern w:val="0"/>
          <w:sz w:val="52"/>
          <w:szCs w:val="52"/>
        </w:rPr>
      </w:pPr>
    </w:p>
    <w:p w14:paraId="749C2933">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华文中宋" w:hAnsi="华文中宋" w:eastAsia="华文中宋" w:cs="华文中宋"/>
          <w:b/>
          <w:bCs w:val="0"/>
          <w:color w:val="auto"/>
          <w:kern w:val="0"/>
          <w:sz w:val="52"/>
          <w:szCs w:val="52"/>
        </w:rPr>
      </w:pPr>
    </w:p>
    <w:p w14:paraId="72714CA3">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华文中宋" w:hAnsi="华文中宋" w:eastAsia="华文中宋" w:cs="华文中宋"/>
          <w:b/>
          <w:bCs w:val="0"/>
          <w:color w:val="auto"/>
          <w:kern w:val="0"/>
          <w:sz w:val="52"/>
          <w:szCs w:val="52"/>
        </w:rPr>
      </w:pPr>
    </w:p>
    <w:p w14:paraId="3DBDBE4E">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仿宋" w:hAnsi="仿宋" w:eastAsia="仿宋" w:cs="仿宋"/>
          <w:b/>
          <w:bCs w:val="0"/>
          <w:color w:val="auto"/>
          <w:kern w:val="0"/>
          <w:sz w:val="84"/>
          <w:szCs w:val="84"/>
        </w:rPr>
      </w:pPr>
      <w:r>
        <w:rPr>
          <w:rFonts w:hint="eastAsia" w:ascii="仿宋" w:hAnsi="仿宋" w:eastAsia="仿宋" w:cs="仿宋"/>
          <w:b/>
          <w:bCs w:val="0"/>
          <w:color w:val="auto"/>
          <w:kern w:val="0"/>
          <w:sz w:val="84"/>
          <w:szCs w:val="84"/>
        </w:rPr>
        <w:t>拍</w:t>
      </w:r>
      <w:r>
        <w:rPr>
          <w:rFonts w:hint="eastAsia" w:ascii="仿宋" w:hAnsi="仿宋" w:eastAsia="仿宋" w:cs="仿宋"/>
          <w:b/>
          <w:bCs w:val="0"/>
          <w:color w:val="auto"/>
          <w:kern w:val="0"/>
          <w:sz w:val="84"/>
          <w:szCs w:val="84"/>
          <w:lang w:val="en-US" w:eastAsia="zh-CN"/>
        </w:rPr>
        <w:t xml:space="preserve"> </w:t>
      </w:r>
      <w:r>
        <w:rPr>
          <w:rFonts w:hint="eastAsia" w:ascii="仿宋" w:hAnsi="仿宋" w:eastAsia="仿宋" w:cs="仿宋"/>
          <w:b/>
          <w:bCs w:val="0"/>
          <w:color w:val="auto"/>
          <w:kern w:val="0"/>
          <w:sz w:val="84"/>
          <w:szCs w:val="84"/>
        </w:rPr>
        <w:t>卖</w:t>
      </w:r>
      <w:r>
        <w:rPr>
          <w:rFonts w:hint="eastAsia" w:ascii="仿宋" w:hAnsi="仿宋" w:eastAsia="仿宋" w:cs="仿宋"/>
          <w:b/>
          <w:bCs w:val="0"/>
          <w:color w:val="auto"/>
          <w:kern w:val="0"/>
          <w:sz w:val="84"/>
          <w:szCs w:val="84"/>
          <w:lang w:val="en-US" w:eastAsia="zh-CN"/>
        </w:rPr>
        <w:t xml:space="preserve"> </w:t>
      </w:r>
      <w:r>
        <w:rPr>
          <w:rFonts w:hint="eastAsia" w:ascii="仿宋" w:hAnsi="仿宋" w:eastAsia="仿宋" w:cs="仿宋"/>
          <w:b/>
          <w:bCs w:val="0"/>
          <w:color w:val="auto"/>
          <w:kern w:val="0"/>
          <w:sz w:val="84"/>
          <w:szCs w:val="84"/>
        </w:rPr>
        <w:t>文</w:t>
      </w:r>
      <w:r>
        <w:rPr>
          <w:rFonts w:hint="eastAsia" w:ascii="仿宋" w:hAnsi="仿宋" w:eastAsia="仿宋" w:cs="仿宋"/>
          <w:b/>
          <w:bCs w:val="0"/>
          <w:color w:val="auto"/>
          <w:kern w:val="0"/>
          <w:sz w:val="84"/>
          <w:szCs w:val="84"/>
          <w:lang w:val="en-US" w:eastAsia="zh-CN"/>
        </w:rPr>
        <w:t xml:space="preserve"> </w:t>
      </w:r>
      <w:r>
        <w:rPr>
          <w:rFonts w:hint="eastAsia" w:ascii="仿宋" w:hAnsi="仿宋" w:eastAsia="仿宋" w:cs="仿宋"/>
          <w:b/>
          <w:bCs w:val="0"/>
          <w:color w:val="auto"/>
          <w:kern w:val="0"/>
          <w:sz w:val="84"/>
          <w:szCs w:val="84"/>
        </w:rPr>
        <w:t>件</w:t>
      </w:r>
    </w:p>
    <w:p w14:paraId="1AA9D926">
      <w:pPr>
        <w:keepNext w:val="0"/>
        <w:keepLines w:val="0"/>
        <w:pageBreakBefore w:val="0"/>
        <w:kinsoku/>
        <w:wordWrap/>
        <w:overflowPunct/>
        <w:topLinePunct w:val="0"/>
        <w:autoSpaceDE w:val="0"/>
        <w:autoSpaceDN w:val="0"/>
        <w:bidi w:val="0"/>
        <w:adjustRightInd w:val="0"/>
        <w:spacing w:line="560" w:lineRule="atLeast"/>
        <w:jc w:val="center"/>
        <w:textAlignment w:val="auto"/>
        <w:rPr>
          <w:rFonts w:hint="eastAsia" w:ascii="华文中宋" w:hAnsi="华文中宋" w:eastAsia="华文中宋" w:cs="华文中宋"/>
          <w:b/>
          <w:color w:val="auto"/>
          <w:kern w:val="0"/>
          <w:sz w:val="32"/>
          <w:szCs w:val="32"/>
        </w:rPr>
      </w:pPr>
    </w:p>
    <w:p w14:paraId="26EAC1DE">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ind w:firstLine="1928" w:firstLineChars="600"/>
        <w:textAlignment w:val="auto"/>
        <w:rPr>
          <w:rFonts w:hint="eastAsia" w:ascii="仿宋" w:hAnsi="仿宋" w:eastAsia="仿宋" w:cs="仿宋"/>
          <w:b/>
          <w:bCs/>
          <w:color w:val="auto"/>
          <w:kern w:val="0"/>
          <w:sz w:val="32"/>
          <w:szCs w:val="32"/>
        </w:rPr>
      </w:pPr>
    </w:p>
    <w:p w14:paraId="72CA1DC3">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jc w:val="center"/>
        <w:textAlignment w:val="auto"/>
        <w:rPr>
          <w:rFonts w:hint="eastAsia" w:ascii="仿宋" w:hAnsi="仿宋" w:eastAsia="仿宋" w:cs="仿宋"/>
          <w:b/>
          <w:bCs/>
          <w:color w:val="auto"/>
          <w:kern w:val="0"/>
          <w:sz w:val="32"/>
          <w:szCs w:val="32"/>
        </w:rPr>
      </w:pPr>
    </w:p>
    <w:p w14:paraId="4B87991C">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jc w:val="center"/>
        <w:textAlignment w:val="auto"/>
        <w:rPr>
          <w:rFonts w:hint="eastAsia" w:ascii="仿宋" w:hAnsi="仿宋" w:eastAsia="仿宋" w:cs="仿宋"/>
          <w:b/>
          <w:bCs/>
          <w:color w:val="auto"/>
          <w:kern w:val="0"/>
          <w:sz w:val="32"/>
          <w:szCs w:val="32"/>
        </w:rPr>
      </w:pPr>
    </w:p>
    <w:p w14:paraId="70494E90">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
          <w:bCs/>
          <w:color w:val="auto"/>
          <w:sz w:val="32"/>
          <w:szCs w:val="32"/>
        </w:rPr>
      </w:pPr>
    </w:p>
    <w:p w14:paraId="23744C0E">
      <w:pPr>
        <w:keepNext w:val="0"/>
        <w:keepLines w:val="0"/>
        <w:pageBreakBefore w:val="0"/>
        <w:kinsoku/>
        <w:wordWrap/>
        <w:overflowPunct/>
        <w:topLinePunct w:val="0"/>
        <w:bidi w:val="0"/>
        <w:spacing w:before="100" w:beforeAutospacing="1" w:after="100" w:afterAutospacing="1" w:line="560" w:lineRule="atLeast"/>
        <w:jc w:val="center"/>
        <w:textAlignment w:val="auto"/>
        <w:rPr>
          <w:rFonts w:hint="eastAsia" w:ascii="仿宋" w:hAnsi="仿宋" w:eastAsia="仿宋" w:cs="仿宋"/>
          <w:b/>
          <w:bCs/>
          <w:color w:val="auto"/>
          <w:sz w:val="32"/>
          <w:szCs w:val="32"/>
        </w:rPr>
      </w:pPr>
    </w:p>
    <w:p w14:paraId="0EE8D591">
      <w:pPr>
        <w:keepNext w:val="0"/>
        <w:keepLines w:val="0"/>
        <w:pageBreakBefore w:val="0"/>
        <w:kinsoku/>
        <w:wordWrap/>
        <w:overflowPunct/>
        <w:topLinePunct w:val="0"/>
        <w:bidi w:val="0"/>
        <w:spacing w:before="100" w:beforeAutospacing="1" w:after="100" w:afterAutospacing="1" w:line="560" w:lineRule="atLeast"/>
        <w:jc w:val="center"/>
        <w:textAlignment w:val="auto"/>
        <w:rPr>
          <w:rFonts w:hint="eastAsia" w:ascii="仿宋" w:hAnsi="仿宋" w:eastAsia="仿宋" w:cs="仿宋"/>
          <w:b/>
          <w:bCs/>
          <w:color w:val="auto"/>
          <w:sz w:val="32"/>
          <w:szCs w:val="32"/>
        </w:rPr>
      </w:pPr>
    </w:p>
    <w:p w14:paraId="7F3D99CF">
      <w:pPr>
        <w:keepNext w:val="0"/>
        <w:keepLines w:val="0"/>
        <w:pageBreakBefore w:val="0"/>
        <w:kinsoku/>
        <w:wordWrap/>
        <w:overflowPunct/>
        <w:topLinePunct w:val="0"/>
        <w:bidi w:val="0"/>
        <w:spacing w:before="100" w:beforeAutospacing="1" w:after="100" w:afterAutospacing="1" w:line="560" w:lineRule="atLeast"/>
        <w:jc w:val="center"/>
        <w:textAlignment w:val="auto"/>
        <w:rPr>
          <w:rFonts w:hint="eastAsia" w:ascii="仿宋" w:hAnsi="仿宋" w:eastAsia="仿宋" w:cs="仿宋"/>
          <w:b/>
          <w:bCs/>
          <w:color w:val="auto"/>
          <w:sz w:val="48"/>
          <w:szCs w:val="48"/>
          <w:lang w:eastAsia="zh-CN"/>
        </w:rPr>
      </w:pPr>
      <w:r>
        <w:rPr>
          <w:rFonts w:hint="eastAsia" w:ascii="仿宋" w:hAnsi="仿宋" w:eastAsia="仿宋" w:cs="仿宋"/>
          <w:b/>
          <w:bCs/>
          <w:color w:val="auto"/>
          <w:sz w:val="48"/>
          <w:szCs w:val="48"/>
          <w:lang w:eastAsia="zh-CN"/>
        </w:rPr>
        <w:t>湖北励勤拍卖有限公司</w:t>
      </w:r>
    </w:p>
    <w:p w14:paraId="0CE11C3C">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
          <w:color w:val="auto"/>
          <w:sz w:val="48"/>
          <w:szCs w:val="48"/>
        </w:rPr>
      </w:pPr>
      <w:r>
        <w:rPr>
          <w:rFonts w:hint="eastAsia" w:ascii="仿宋" w:hAnsi="仿宋" w:eastAsia="仿宋" w:cs="仿宋"/>
          <w:b/>
          <w:bCs/>
          <w:color w:val="auto"/>
          <w:sz w:val="48"/>
          <w:szCs w:val="48"/>
        </w:rPr>
        <w:t>20</w:t>
      </w:r>
      <w:r>
        <w:rPr>
          <w:rFonts w:hint="eastAsia" w:ascii="仿宋" w:hAnsi="仿宋" w:eastAsia="仿宋" w:cs="仿宋"/>
          <w:b/>
          <w:bCs/>
          <w:color w:val="auto"/>
          <w:sz w:val="48"/>
          <w:szCs w:val="48"/>
          <w:lang w:val="en-US" w:eastAsia="zh-CN"/>
        </w:rPr>
        <w:t>25</w:t>
      </w:r>
      <w:r>
        <w:rPr>
          <w:rFonts w:hint="eastAsia" w:ascii="仿宋" w:hAnsi="仿宋" w:eastAsia="仿宋" w:cs="仿宋"/>
          <w:b/>
          <w:bCs/>
          <w:color w:val="auto"/>
          <w:sz w:val="48"/>
          <w:szCs w:val="48"/>
        </w:rPr>
        <w:t>年</w:t>
      </w:r>
      <w:r>
        <w:rPr>
          <w:rFonts w:hint="eastAsia" w:ascii="仿宋" w:hAnsi="仿宋" w:eastAsia="仿宋" w:cs="仿宋"/>
          <w:b/>
          <w:bCs/>
          <w:color w:val="auto"/>
          <w:sz w:val="48"/>
          <w:szCs w:val="48"/>
          <w:lang w:val="en-US" w:eastAsia="zh-CN"/>
        </w:rPr>
        <w:t>9</w:t>
      </w:r>
      <w:r>
        <w:rPr>
          <w:rFonts w:hint="eastAsia" w:ascii="仿宋" w:hAnsi="仿宋" w:eastAsia="仿宋" w:cs="仿宋"/>
          <w:b/>
          <w:bCs/>
          <w:color w:val="auto"/>
          <w:sz w:val="48"/>
          <w:szCs w:val="48"/>
        </w:rPr>
        <w:t>月</w:t>
      </w:r>
    </w:p>
    <w:p w14:paraId="7DB2CD95">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99793C4">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rPr>
      </w:pPr>
      <w:r>
        <w:rPr>
          <w:rFonts w:hint="eastAsia" w:ascii="华文中宋" w:hAnsi="华文中宋" w:eastAsia="华文中宋" w:cs="华文中宋"/>
          <w:b w:val="0"/>
          <w:bCs w:val="0"/>
          <w:color w:val="auto"/>
          <w:sz w:val="48"/>
          <w:szCs w:val="48"/>
        </w:rPr>
        <w:t>目  录</w:t>
      </w:r>
    </w:p>
    <w:p w14:paraId="249D85EB">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p>
    <w:p w14:paraId="6EB56CA4">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一、拍卖公告</w:t>
      </w:r>
    </w:p>
    <w:p w14:paraId="40F5BC67">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二、竞买须知</w:t>
      </w:r>
    </w:p>
    <w:p w14:paraId="40050892">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三、拍卖规则</w:t>
      </w:r>
    </w:p>
    <w:p w14:paraId="1C4AEB46">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四、竞买申请书</w:t>
      </w:r>
    </w:p>
    <w:p w14:paraId="4D66EDD8">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五、竞买资格确认书（样本）</w:t>
      </w:r>
    </w:p>
    <w:p w14:paraId="64D9682B">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六、法定代表人身份证明（样本）</w:t>
      </w:r>
    </w:p>
    <w:p w14:paraId="11D67346">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七、授权委托书（样本）</w:t>
      </w:r>
    </w:p>
    <w:p w14:paraId="490CB6B9">
      <w:pPr>
        <w:keepNext w:val="0"/>
        <w:keepLines w:val="0"/>
        <w:pageBreakBefore w:val="0"/>
        <w:kinsoku/>
        <w:wordWrap/>
        <w:overflowPunct/>
        <w:topLinePunct w:val="0"/>
        <w:bidi w:val="0"/>
        <w:spacing w:line="560" w:lineRule="atLeas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八、竞买协议</w:t>
      </w:r>
    </w:p>
    <w:p w14:paraId="378BB3E0">
      <w:pPr>
        <w:keepNext w:val="0"/>
        <w:keepLines w:val="0"/>
        <w:pageBreakBefore w:val="0"/>
        <w:kinsoku/>
        <w:wordWrap/>
        <w:overflowPunct/>
        <w:topLinePunct w:val="0"/>
        <w:bidi w:val="0"/>
        <w:spacing w:line="560" w:lineRule="atLeas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九、拍卖标的清单</w:t>
      </w:r>
    </w:p>
    <w:p w14:paraId="69F7F7AB">
      <w:pPr>
        <w:pStyle w:val="2"/>
        <w:keepNext w:val="0"/>
        <w:keepLines w:val="0"/>
        <w:pageBreakBefore w:val="0"/>
        <w:kinsoku/>
        <w:wordWrap/>
        <w:overflowPunct/>
        <w:topLinePunct w:val="0"/>
        <w:bidi w:val="0"/>
        <w:spacing w:line="560" w:lineRule="atLeast"/>
        <w:ind w:firstLine="0"/>
        <w:textAlignment w:val="auto"/>
        <w:rPr>
          <w:rFonts w:hint="eastAsia" w:ascii="仿宋" w:hAnsi="仿宋" w:eastAsia="仿宋" w:cs="仿宋"/>
          <w:color w:val="auto"/>
          <w:sz w:val="32"/>
          <w:szCs w:val="32"/>
        </w:rPr>
      </w:pPr>
    </w:p>
    <w:p w14:paraId="5267C2F7">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p>
    <w:p w14:paraId="3345D9F0">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color w:val="auto"/>
          <w:sz w:val="32"/>
          <w:szCs w:val="32"/>
        </w:rPr>
        <w:sectPr>
          <w:headerReference r:id="rId3" w:type="default"/>
          <w:footerReference r:id="rId4" w:type="default"/>
          <w:type w:val="continuous"/>
          <w:pgSz w:w="11906" w:h="16838"/>
          <w:pgMar w:top="1440" w:right="1800" w:bottom="1440" w:left="1800" w:header="851" w:footer="992" w:gutter="0"/>
          <w:cols w:space="720" w:num="1"/>
          <w:docGrid w:type="lines" w:linePitch="312" w:charSpace="0"/>
        </w:sectPr>
      </w:pPr>
    </w:p>
    <w:p w14:paraId="770B373E">
      <w:pPr>
        <w:jc w:val="center"/>
        <w:rPr>
          <w:rFonts w:hint="eastAsia" w:ascii="黑体" w:hAnsi="黑体" w:eastAsia="黑体" w:cs="黑体"/>
          <w:b/>
          <w:bCs/>
          <w:sz w:val="36"/>
          <w:szCs w:val="36"/>
          <w:lang w:val="en-US" w:eastAsia="zh-CN"/>
        </w:rPr>
      </w:pPr>
      <w:r>
        <w:rPr>
          <w:rFonts w:hint="eastAsia" w:ascii="仿宋" w:hAnsi="仿宋" w:eastAsia="仿宋" w:cs="仿宋"/>
          <w:color w:val="auto"/>
          <w:sz w:val="32"/>
          <w:szCs w:val="32"/>
        </w:rPr>
        <w:br w:type="page"/>
      </w:r>
      <w:r>
        <w:rPr>
          <w:rFonts w:hint="eastAsia" w:ascii="黑体" w:hAnsi="黑体" w:eastAsia="黑体" w:cs="黑体"/>
          <w:b/>
          <w:bCs/>
          <w:sz w:val="36"/>
          <w:szCs w:val="36"/>
          <w:lang w:val="en-US" w:eastAsia="zh-CN"/>
        </w:rPr>
        <w:t>大冶市8处尾矿库固废综合利用处置权</w:t>
      </w:r>
    </w:p>
    <w:p w14:paraId="25E6D56E">
      <w:pPr>
        <w:jc w:val="center"/>
        <w:rPr>
          <w:rFonts w:hint="eastAsia" w:ascii="黑体" w:hAnsi="黑体" w:eastAsia="黑体" w:cs="黑体"/>
          <w:b/>
          <w:bCs/>
          <w:sz w:val="36"/>
          <w:szCs w:val="36"/>
        </w:rPr>
      </w:pPr>
      <w:r>
        <w:rPr>
          <w:rFonts w:hint="eastAsia" w:ascii="黑体" w:hAnsi="黑体" w:eastAsia="黑体" w:cs="黑体"/>
          <w:b/>
          <w:bCs/>
          <w:sz w:val="36"/>
          <w:szCs w:val="36"/>
        </w:rPr>
        <w:t>拍 卖 公 告</w:t>
      </w:r>
    </w:p>
    <w:p w14:paraId="5CB15566">
      <w:pPr>
        <w:keepNext w:val="0"/>
        <w:keepLines w:val="0"/>
        <w:pageBreakBefore w:val="0"/>
        <w:kinsoku/>
        <w:wordWrap/>
        <w:overflowPunct/>
        <w:topLinePunct w:val="0"/>
        <w:autoSpaceDE w:val="0"/>
        <w:autoSpaceDN w:val="0"/>
        <w:bidi w:val="0"/>
        <w:adjustRightInd w:val="0"/>
        <w:snapToGrid/>
        <w:spacing w:line="500" w:lineRule="exact"/>
        <w:ind w:firstLine="536" w:firstLineChars="200"/>
        <w:jc w:val="both"/>
        <w:textAlignment w:val="auto"/>
        <w:rPr>
          <w:rFonts w:hint="eastAsia" w:ascii="仿宋" w:hAnsi="仿宋" w:eastAsia="仿宋" w:cs="仿宋"/>
          <w:spacing w:val="-6"/>
          <w:kern w:val="0"/>
          <w:sz w:val="28"/>
          <w:szCs w:val="28"/>
        </w:rPr>
      </w:pPr>
    </w:p>
    <w:p w14:paraId="0CFB2266">
      <w:pPr>
        <w:keepNext w:val="0"/>
        <w:keepLines w:val="0"/>
        <w:pageBreakBefore w:val="0"/>
        <w:kinsoku/>
        <w:wordWrap/>
        <w:overflowPunct/>
        <w:topLinePunct w:val="0"/>
        <w:autoSpaceDE w:val="0"/>
        <w:autoSpaceDN w:val="0"/>
        <w:bidi w:val="0"/>
        <w:adjustRightInd w:val="0"/>
        <w:snapToGrid/>
        <w:spacing w:line="500" w:lineRule="exact"/>
        <w:ind w:firstLine="536" w:firstLineChars="200"/>
        <w:jc w:val="both"/>
        <w:textAlignment w:val="auto"/>
        <w:rPr>
          <w:rFonts w:ascii="仿宋" w:hAnsi="仿宋" w:eastAsia="仿宋" w:cs="仿宋"/>
          <w:sz w:val="28"/>
          <w:szCs w:val="28"/>
        </w:rPr>
      </w:pPr>
      <w:r>
        <w:rPr>
          <w:rFonts w:hint="eastAsia" w:ascii="仿宋" w:hAnsi="仿宋" w:eastAsia="仿宋" w:cs="仿宋"/>
          <w:spacing w:val="-6"/>
          <w:kern w:val="0"/>
          <w:sz w:val="28"/>
          <w:szCs w:val="28"/>
        </w:rPr>
        <w:t>受大冶市自然资源和规划局委托，本公司定于2025年9月26日</w:t>
      </w:r>
      <w:r>
        <w:rPr>
          <w:rFonts w:hint="eastAsia" w:ascii="仿宋" w:hAnsi="仿宋" w:eastAsia="仿宋" w:cs="仿宋"/>
          <w:spacing w:val="-6"/>
          <w:kern w:val="0"/>
          <w:sz w:val="28"/>
          <w:szCs w:val="28"/>
          <w:lang w:val="en-US" w:eastAsia="zh-CN"/>
        </w:rPr>
        <w:t>15</w:t>
      </w:r>
      <w:r>
        <w:rPr>
          <w:rFonts w:hint="eastAsia" w:ascii="仿宋" w:hAnsi="仿宋" w:eastAsia="仿宋" w:cs="仿宋"/>
          <w:spacing w:val="-6"/>
          <w:kern w:val="0"/>
          <w:sz w:val="28"/>
          <w:szCs w:val="28"/>
        </w:rPr>
        <w:t>时</w:t>
      </w:r>
      <w:r>
        <w:rPr>
          <w:rFonts w:hint="eastAsia" w:ascii="仿宋" w:hAnsi="仿宋" w:eastAsia="仿宋" w:cs="仿宋"/>
          <w:spacing w:val="-6"/>
          <w:kern w:val="0"/>
          <w:sz w:val="28"/>
          <w:szCs w:val="28"/>
          <w:lang w:val="en-US" w:eastAsia="zh-CN"/>
        </w:rPr>
        <w:t>00分</w:t>
      </w:r>
      <w:r>
        <w:rPr>
          <w:rFonts w:hint="eastAsia" w:ascii="仿宋" w:hAnsi="仿宋" w:eastAsia="仿宋" w:cs="仿宋"/>
          <w:spacing w:val="-6"/>
          <w:kern w:val="0"/>
          <w:sz w:val="28"/>
          <w:szCs w:val="28"/>
        </w:rPr>
        <w:t>在大冶市公共资源交易中心317室举行拍卖会，依照《中华人民共和国拍卖法》公开</w:t>
      </w:r>
      <w:r>
        <w:rPr>
          <w:rFonts w:hint="eastAsia" w:ascii="仿宋" w:hAnsi="仿宋" w:eastAsia="仿宋" w:cs="仿宋"/>
          <w:sz w:val="28"/>
          <w:szCs w:val="28"/>
        </w:rPr>
        <w:t>整体拍卖</w:t>
      </w:r>
      <w:r>
        <w:rPr>
          <w:rFonts w:hint="eastAsia" w:ascii="仿宋" w:hAnsi="仿宋" w:eastAsia="仿宋" w:cs="仿宋"/>
          <w:sz w:val="28"/>
          <w:szCs w:val="28"/>
          <w:lang w:val="en-US" w:eastAsia="zh-CN"/>
        </w:rPr>
        <w:t>大冶市8处尾矿库固废综合利用处置权</w:t>
      </w:r>
      <w:r>
        <w:rPr>
          <w:rFonts w:hint="eastAsia" w:ascii="仿宋" w:hAnsi="仿宋" w:eastAsia="仿宋" w:cs="仿宋"/>
          <w:sz w:val="28"/>
          <w:szCs w:val="28"/>
        </w:rPr>
        <w:t>。</w:t>
      </w:r>
    </w:p>
    <w:p w14:paraId="10D5037D">
      <w:pPr>
        <w:keepNext w:val="0"/>
        <w:keepLines w:val="0"/>
        <w:pageBreakBefore w:val="0"/>
        <w:kinsoku/>
        <w:wordWrap/>
        <w:overflowPunct/>
        <w:topLinePunct w:val="0"/>
        <w:autoSpaceDE w:val="0"/>
        <w:autoSpaceDN w:val="0"/>
        <w:bidi w:val="0"/>
        <w:adjustRightInd w:val="0"/>
        <w:snapToGrid/>
        <w:spacing w:line="500" w:lineRule="exact"/>
        <w:ind w:firstLine="536" w:firstLineChars="200"/>
        <w:jc w:val="both"/>
        <w:textAlignment w:val="auto"/>
        <w:rPr>
          <w:rFonts w:ascii="仿宋" w:hAnsi="仿宋" w:eastAsia="仿宋" w:cs="仿宋"/>
          <w:spacing w:val="-6"/>
          <w:kern w:val="0"/>
          <w:sz w:val="28"/>
          <w:szCs w:val="28"/>
        </w:rPr>
      </w:pPr>
      <w:r>
        <w:rPr>
          <w:rFonts w:hint="eastAsia" w:ascii="仿宋" w:hAnsi="仿宋" w:eastAsia="仿宋" w:cs="仿宋"/>
          <w:spacing w:val="-6"/>
          <w:kern w:val="0"/>
          <w:sz w:val="28"/>
          <w:szCs w:val="28"/>
        </w:rPr>
        <w:t>对大冶市多处已经关闭多年或已公告关闭的尾矿库内矿产资源的固废综合利用处置权（没有公告关闭的尾矿库在使用权人无先进技术开发的前提下，可鼓励引进第三方先进技术进行尾矿库资源的开发利用），在开发利用必须遵守国家安全生产、环保保护、矿产资源开发利用的相关法规政策规定，并获得相关部门审批。</w:t>
      </w:r>
    </w:p>
    <w:p w14:paraId="06EF8D1F">
      <w:pPr>
        <w:keepNext w:val="0"/>
        <w:keepLines w:val="0"/>
        <w:pageBreakBefore w:val="0"/>
        <w:kinsoku/>
        <w:wordWrap/>
        <w:overflowPunct/>
        <w:topLinePunct w:val="0"/>
        <w:autoSpaceDE w:val="0"/>
        <w:autoSpaceDN w:val="0"/>
        <w:bidi w:val="0"/>
        <w:adjustRightInd w:val="0"/>
        <w:snapToGrid/>
        <w:spacing w:line="500" w:lineRule="exact"/>
        <w:ind w:firstLine="536" w:firstLineChars="200"/>
        <w:jc w:val="both"/>
        <w:textAlignment w:val="auto"/>
        <w:rPr>
          <w:rFonts w:ascii="仿宋" w:hAnsi="仿宋" w:eastAsia="仿宋" w:cs="仿宋"/>
          <w:spacing w:val="-6"/>
          <w:kern w:val="0"/>
          <w:sz w:val="28"/>
          <w:szCs w:val="28"/>
        </w:rPr>
      </w:pPr>
      <w:r>
        <w:rPr>
          <w:rFonts w:hint="eastAsia" w:ascii="仿宋" w:hAnsi="仿宋" w:eastAsia="仿宋" w:cs="仿宋"/>
          <w:spacing w:val="-6"/>
          <w:kern w:val="0"/>
          <w:sz w:val="28"/>
          <w:szCs w:val="28"/>
        </w:rPr>
        <w:t>竞买人须为依法注册且有效存续的单位或具有完全民事行为能力的个人（含个体工商户）。自公告之日起接受咨询，拍卖标的在其坐落所在地展示，请自行前往现场踏勘。</w:t>
      </w:r>
      <w:r>
        <w:rPr>
          <w:rFonts w:ascii="仿宋" w:hAnsi="仿宋" w:eastAsia="仿宋" w:cs="仿宋"/>
          <w:spacing w:val="-6"/>
          <w:kern w:val="0"/>
          <w:sz w:val="28"/>
          <w:szCs w:val="28"/>
        </w:rPr>
        <w:t>具体要求详见拍卖文件，起拍价由拍卖师现场宣布。</w:t>
      </w:r>
    </w:p>
    <w:p w14:paraId="13A3016A">
      <w:pPr>
        <w:pStyle w:val="7"/>
        <w:keepNext w:val="0"/>
        <w:keepLines w:val="0"/>
        <w:pageBreakBefore w:val="0"/>
        <w:widowControl/>
        <w:shd w:val="clear" w:color="auto" w:fill="FFFFFF"/>
        <w:kinsoku/>
        <w:wordWrap/>
        <w:overflowPunct/>
        <w:topLinePunct w:val="0"/>
        <w:bidi w:val="0"/>
        <w:snapToGrid/>
        <w:spacing w:before="0" w:beforeAutospacing="0" w:after="0" w:afterAutospacing="0" w:line="500" w:lineRule="exact"/>
        <w:ind w:firstLine="536" w:firstLineChars="200"/>
        <w:jc w:val="both"/>
        <w:textAlignment w:val="auto"/>
        <w:rPr>
          <w:rFonts w:ascii="仿宋" w:hAnsi="仿宋" w:eastAsia="仿宋" w:cs="仿宋"/>
          <w:spacing w:val="-6"/>
          <w:sz w:val="28"/>
          <w:szCs w:val="28"/>
        </w:rPr>
      </w:pPr>
      <w:r>
        <w:rPr>
          <w:rFonts w:hint="eastAsia" w:ascii="仿宋" w:hAnsi="仿宋" w:eastAsia="仿宋" w:cs="仿宋"/>
          <w:spacing w:val="-6"/>
          <w:sz w:val="28"/>
          <w:szCs w:val="28"/>
        </w:rPr>
        <w:t>有意竞买者请携带有效证件到</w:t>
      </w:r>
      <w:r>
        <w:rPr>
          <w:rFonts w:hint="eastAsia" w:ascii="仿宋" w:hAnsi="仿宋" w:eastAsia="仿宋" w:cs="仿宋"/>
          <w:spacing w:val="-6"/>
          <w:sz w:val="28"/>
          <w:szCs w:val="28"/>
          <w:lang w:eastAsia="zh-CN"/>
        </w:rPr>
        <w:t>湖北</w:t>
      </w:r>
      <w:r>
        <w:rPr>
          <w:rFonts w:hint="eastAsia" w:ascii="仿宋" w:hAnsi="仿宋" w:eastAsia="仿宋" w:cs="仿宋"/>
          <w:spacing w:val="-6"/>
          <w:sz w:val="28"/>
          <w:szCs w:val="28"/>
          <w:lang w:val="en-US" w:eastAsia="zh-CN"/>
        </w:rPr>
        <w:t>励勤</w:t>
      </w:r>
      <w:r>
        <w:rPr>
          <w:rFonts w:hint="eastAsia" w:ascii="仿宋" w:hAnsi="仿宋" w:eastAsia="仿宋" w:cs="仿宋"/>
          <w:spacing w:val="-6"/>
          <w:sz w:val="28"/>
          <w:szCs w:val="28"/>
          <w:lang w:eastAsia="zh-CN"/>
        </w:rPr>
        <w:t>拍卖有限公司</w:t>
      </w:r>
      <w:r>
        <w:rPr>
          <w:rFonts w:hint="eastAsia" w:ascii="仿宋" w:hAnsi="仿宋" w:eastAsia="仿宋" w:cs="仿宋"/>
          <w:spacing w:val="-6"/>
          <w:sz w:val="28"/>
          <w:szCs w:val="28"/>
        </w:rPr>
        <w:t>办理竞买登记手续，交纳竞买保证金</w:t>
      </w:r>
      <w:r>
        <w:rPr>
          <w:rFonts w:hint="eastAsia" w:ascii="仿宋" w:hAnsi="仿宋" w:eastAsia="仿宋" w:cs="仿宋"/>
          <w:spacing w:val="-6"/>
          <w:sz w:val="28"/>
          <w:szCs w:val="28"/>
          <w:lang w:val="en-US" w:eastAsia="zh-CN"/>
        </w:rPr>
        <w:t>4</w:t>
      </w:r>
      <w:r>
        <w:rPr>
          <w:rFonts w:hint="eastAsia" w:ascii="仿宋" w:hAnsi="仿宋" w:eastAsia="仿宋" w:cs="仿宋"/>
          <w:spacing w:val="-6"/>
          <w:sz w:val="28"/>
          <w:szCs w:val="28"/>
        </w:rPr>
        <w:t>万元，截止时间为2025年9月25日下午4时整（以银行实际到账时间为准，逾期无效）。本公告未尽事宜详见拍卖文件。</w:t>
      </w:r>
    </w:p>
    <w:p w14:paraId="7E40FBF1">
      <w:pPr>
        <w:keepNext w:val="0"/>
        <w:keepLines w:val="0"/>
        <w:pageBreakBefore w:val="0"/>
        <w:kinsoku/>
        <w:wordWrap/>
        <w:overflowPunct/>
        <w:topLinePunct w:val="0"/>
        <w:bidi w:val="0"/>
        <w:snapToGrid/>
        <w:spacing w:line="5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王先生</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13971765691</w:t>
      </w:r>
      <w:r>
        <w:rPr>
          <w:rFonts w:hint="eastAsia" w:ascii="仿宋" w:hAnsi="仿宋" w:eastAsia="仿宋" w:cs="仿宋"/>
          <w:sz w:val="28"/>
          <w:szCs w:val="28"/>
        </w:rPr>
        <w:t xml:space="preserve">    </w:t>
      </w:r>
    </w:p>
    <w:p w14:paraId="0479382B">
      <w:pPr>
        <w:keepNext w:val="0"/>
        <w:keepLines w:val="0"/>
        <w:pageBreakBefore w:val="0"/>
        <w:kinsoku/>
        <w:wordWrap/>
        <w:overflowPunct/>
        <w:topLinePunct w:val="0"/>
        <w:bidi w:val="0"/>
        <w:snapToGrid/>
        <w:spacing w:line="500" w:lineRule="exact"/>
        <w:jc w:val="right"/>
        <w:textAlignment w:val="auto"/>
        <w:rPr>
          <w:rFonts w:hint="eastAsia" w:ascii="仿宋" w:hAnsi="仿宋" w:eastAsia="仿宋" w:cs="仿宋"/>
          <w:spacing w:val="-6"/>
          <w:kern w:val="0"/>
          <w:sz w:val="28"/>
          <w:szCs w:val="28"/>
          <w:lang w:eastAsia="zh-CN"/>
        </w:rPr>
      </w:pPr>
    </w:p>
    <w:p w14:paraId="79531F2D">
      <w:pPr>
        <w:keepNext w:val="0"/>
        <w:keepLines w:val="0"/>
        <w:pageBreakBefore w:val="0"/>
        <w:kinsoku/>
        <w:wordWrap/>
        <w:overflowPunct/>
        <w:topLinePunct w:val="0"/>
        <w:bidi w:val="0"/>
        <w:snapToGrid/>
        <w:spacing w:line="500" w:lineRule="exact"/>
        <w:jc w:val="right"/>
        <w:textAlignment w:val="auto"/>
        <w:rPr>
          <w:rFonts w:hint="eastAsia" w:ascii="仿宋" w:hAnsi="仿宋" w:eastAsia="仿宋" w:cs="仿宋"/>
          <w:spacing w:val="-6"/>
          <w:kern w:val="0"/>
          <w:sz w:val="28"/>
          <w:szCs w:val="28"/>
          <w:lang w:eastAsia="zh-CN"/>
        </w:rPr>
      </w:pPr>
    </w:p>
    <w:p w14:paraId="6FDB357E">
      <w:pPr>
        <w:keepNext w:val="0"/>
        <w:keepLines w:val="0"/>
        <w:pageBreakBefore w:val="0"/>
        <w:kinsoku/>
        <w:wordWrap/>
        <w:overflowPunct/>
        <w:topLinePunct w:val="0"/>
        <w:bidi w:val="0"/>
        <w:snapToGrid/>
        <w:spacing w:line="500" w:lineRule="exact"/>
        <w:jc w:val="right"/>
        <w:textAlignment w:val="auto"/>
        <w:rPr>
          <w:rFonts w:hint="eastAsia" w:ascii="仿宋" w:hAnsi="仿宋" w:eastAsia="仿宋" w:cs="仿宋"/>
          <w:spacing w:val="-6"/>
          <w:kern w:val="0"/>
          <w:sz w:val="28"/>
          <w:szCs w:val="28"/>
          <w:lang w:eastAsia="zh-CN"/>
        </w:rPr>
      </w:pPr>
      <w:r>
        <w:rPr>
          <w:rFonts w:hint="eastAsia" w:ascii="仿宋" w:hAnsi="仿宋" w:eastAsia="仿宋" w:cs="仿宋"/>
          <w:spacing w:val="-6"/>
          <w:kern w:val="0"/>
          <w:sz w:val="28"/>
          <w:szCs w:val="28"/>
          <w:lang w:eastAsia="zh-CN"/>
        </w:rPr>
        <w:t>湖北</w:t>
      </w:r>
      <w:r>
        <w:rPr>
          <w:rFonts w:hint="eastAsia" w:ascii="仿宋" w:hAnsi="仿宋" w:eastAsia="仿宋" w:cs="仿宋"/>
          <w:spacing w:val="-6"/>
          <w:kern w:val="0"/>
          <w:sz w:val="28"/>
          <w:szCs w:val="28"/>
          <w:lang w:val="en-US" w:eastAsia="zh-CN"/>
        </w:rPr>
        <w:t>励勤</w:t>
      </w:r>
      <w:r>
        <w:rPr>
          <w:rFonts w:hint="eastAsia" w:ascii="仿宋" w:hAnsi="仿宋" w:eastAsia="仿宋" w:cs="仿宋"/>
          <w:spacing w:val="-6"/>
          <w:kern w:val="0"/>
          <w:sz w:val="28"/>
          <w:szCs w:val="28"/>
          <w:lang w:eastAsia="zh-CN"/>
        </w:rPr>
        <w:t>拍卖有限公司</w:t>
      </w:r>
    </w:p>
    <w:p w14:paraId="66B0DC73">
      <w:pPr>
        <w:keepNext w:val="0"/>
        <w:keepLines w:val="0"/>
        <w:pageBreakBefore w:val="0"/>
        <w:kinsoku/>
        <w:wordWrap/>
        <w:overflowPunct/>
        <w:topLinePunct w:val="0"/>
        <w:autoSpaceDE w:val="0"/>
        <w:autoSpaceDN w:val="0"/>
        <w:bidi w:val="0"/>
        <w:adjustRightInd w:val="0"/>
        <w:snapToGrid/>
        <w:spacing w:line="500" w:lineRule="exact"/>
        <w:jc w:val="right"/>
        <w:textAlignment w:val="auto"/>
        <w:rPr>
          <w:rFonts w:ascii="仿宋" w:hAnsi="仿宋" w:eastAsia="仿宋" w:cs="仿宋"/>
          <w:sz w:val="28"/>
          <w:szCs w:val="28"/>
        </w:rPr>
      </w:pPr>
      <w:r>
        <w:rPr>
          <w:rFonts w:hint="eastAsia" w:ascii="仿宋" w:hAnsi="仿宋" w:eastAsia="仿宋" w:cs="仿宋"/>
          <w:spacing w:val="-6"/>
          <w:kern w:val="0"/>
          <w:sz w:val="28"/>
          <w:szCs w:val="28"/>
        </w:rPr>
        <w:t>2025年9月19日</w:t>
      </w:r>
    </w:p>
    <w:p w14:paraId="3ACE9D43">
      <w:pPr>
        <w:keepNext w:val="0"/>
        <w:keepLines w:val="0"/>
        <w:pageBreakBefore w:val="0"/>
        <w:widowControl w:val="0"/>
        <w:kinsoku/>
        <w:wordWrap/>
        <w:overflowPunct/>
        <w:topLinePunct w:val="0"/>
        <w:autoSpaceDE w:val="0"/>
        <w:autoSpaceDN w:val="0"/>
        <w:bidi w:val="0"/>
        <w:adjustRightInd w:val="0"/>
        <w:snapToGrid/>
        <w:spacing w:line="560" w:lineRule="atLeast"/>
        <w:ind w:firstLine="3640" w:firstLineChars="1300"/>
        <w:jc w:val="center"/>
        <w:textAlignment w:val="auto"/>
        <w:rPr>
          <w:rFonts w:hint="eastAsia" w:ascii="仿宋" w:hAnsi="仿宋" w:eastAsia="仿宋" w:cs="仿宋"/>
          <w:color w:val="auto"/>
          <w:sz w:val="28"/>
          <w:szCs w:val="28"/>
        </w:rPr>
      </w:pPr>
    </w:p>
    <w:p w14:paraId="11DD0831">
      <w:pPr>
        <w:keepNext w:val="0"/>
        <w:keepLines w:val="0"/>
        <w:pageBreakBefore w:val="0"/>
        <w:widowControl w:val="0"/>
        <w:kinsoku/>
        <w:wordWrap/>
        <w:overflowPunct/>
        <w:topLinePunct w:val="0"/>
        <w:autoSpaceDE w:val="0"/>
        <w:autoSpaceDN w:val="0"/>
        <w:bidi w:val="0"/>
        <w:adjustRightInd w:val="0"/>
        <w:snapToGrid/>
        <w:spacing w:line="560" w:lineRule="atLeast"/>
        <w:ind w:firstLine="3640" w:firstLineChars="1300"/>
        <w:jc w:val="center"/>
        <w:textAlignment w:val="auto"/>
        <w:rPr>
          <w:rFonts w:hint="eastAsia" w:ascii="仿宋" w:hAnsi="仿宋" w:eastAsia="仿宋" w:cs="仿宋"/>
          <w:color w:val="auto"/>
          <w:sz w:val="28"/>
          <w:szCs w:val="28"/>
        </w:rPr>
      </w:pPr>
    </w:p>
    <w:p w14:paraId="75E031BD">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rPr>
      </w:pPr>
    </w:p>
    <w:p w14:paraId="2F3930E0">
      <w:pPr>
        <w:keepNext w:val="0"/>
        <w:keepLines w:val="0"/>
        <w:pageBreakBefore w:val="0"/>
        <w:kinsoku/>
        <w:wordWrap/>
        <w:overflowPunct/>
        <w:topLinePunct w:val="0"/>
        <w:bidi w:val="0"/>
        <w:spacing w:line="560" w:lineRule="atLeast"/>
        <w:jc w:val="center"/>
        <w:textAlignment w:val="auto"/>
        <w:rPr>
          <w:rFonts w:hint="eastAsia" w:ascii="黑体" w:hAnsi="黑体" w:eastAsia="黑体" w:cs="黑体"/>
          <w:b/>
          <w:bCs/>
          <w:color w:val="auto"/>
          <w:sz w:val="36"/>
          <w:szCs w:val="36"/>
        </w:rPr>
      </w:pPr>
      <w:r>
        <w:rPr>
          <w:rFonts w:hint="eastAsia" w:ascii="黑体" w:hAnsi="黑体" w:eastAsia="黑体" w:cs="黑体"/>
          <w:b/>
          <w:bCs/>
          <w:color w:val="auto"/>
          <w:sz w:val="36"/>
          <w:szCs w:val="36"/>
        </w:rPr>
        <w:t>竞买须知</w:t>
      </w:r>
    </w:p>
    <w:p w14:paraId="63ACDA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18"/>
          <w:szCs w:val="18"/>
        </w:rPr>
      </w:pPr>
    </w:p>
    <w:p w14:paraId="198394DE">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根据《中华人民共和国拍卖法》及本公司拍卖业务规则规定，</w:t>
      </w:r>
      <w:r>
        <w:rPr>
          <w:rFonts w:hint="eastAsia" w:ascii="仿宋" w:hAnsi="仿宋" w:eastAsia="仿宋" w:cs="仿宋"/>
          <w:color w:val="auto"/>
          <w:sz w:val="32"/>
          <w:szCs w:val="32"/>
          <w:lang w:eastAsia="zh-CN"/>
        </w:rPr>
        <w:t>湖北励勤拍卖有限公司</w:t>
      </w:r>
      <w:r>
        <w:rPr>
          <w:rFonts w:hint="eastAsia" w:ascii="仿宋" w:hAnsi="仿宋" w:eastAsia="仿宋" w:cs="仿宋"/>
          <w:color w:val="auto"/>
          <w:sz w:val="32"/>
          <w:szCs w:val="32"/>
        </w:rPr>
        <w:t>对大冶市</w:t>
      </w:r>
      <w:r>
        <w:rPr>
          <w:rFonts w:hint="eastAsia" w:ascii="仿宋" w:hAnsi="仿宋" w:eastAsia="仿宋" w:cs="仿宋"/>
          <w:color w:val="auto"/>
          <w:sz w:val="32"/>
          <w:szCs w:val="32"/>
          <w:lang w:val="en-US" w:eastAsia="zh-CN"/>
        </w:rPr>
        <w:t>8处尾矿库固废</w:t>
      </w:r>
      <w:r>
        <w:rPr>
          <w:rFonts w:hint="eastAsia" w:ascii="仿宋" w:hAnsi="仿宋" w:eastAsia="仿宋" w:cs="仿宋"/>
          <w:color w:val="auto"/>
          <w:sz w:val="32"/>
          <w:szCs w:val="32"/>
          <w:lang w:eastAsia="zh-CN"/>
        </w:rPr>
        <w:t>综合利用处置权</w:t>
      </w:r>
      <w:r>
        <w:rPr>
          <w:rFonts w:hint="eastAsia" w:ascii="仿宋" w:hAnsi="仿宋" w:eastAsia="仿宋" w:cs="仿宋"/>
          <w:color w:val="auto"/>
          <w:sz w:val="32"/>
          <w:szCs w:val="32"/>
        </w:rPr>
        <w:t>整体依法进行拍卖。</w:t>
      </w:r>
    </w:p>
    <w:p w14:paraId="5A2D160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一、拍卖会时间、地点及拍卖标的</w:t>
      </w:r>
    </w:p>
    <w:p w14:paraId="7500F12C">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1、拍卖时间：</w:t>
      </w:r>
      <w:r>
        <w:rPr>
          <w:rFonts w:hint="eastAsia" w:ascii="仿宋" w:hAnsi="仿宋" w:eastAsia="仿宋" w:cs="仿宋"/>
          <w:color w:val="auto"/>
          <w:sz w:val="32"/>
          <w:szCs w:val="32"/>
          <w:lang w:eastAsia="zh-CN"/>
        </w:rPr>
        <w:t>2025年9月26日15时00分</w:t>
      </w:r>
    </w:p>
    <w:p w14:paraId="46F1A5CF">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2、拍卖地点：大冶市公共资源交易中心317室</w:t>
      </w:r>
    </w:p>
    <w:p w14:paraId="69F757CD">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3、拍卖标的：</w:t>
      </w:r>
      <w:r>
        <w:rPr>
          <w:rFonts w:hint="eastAsia" w:ascii="仿宋" w:hAnsi="仿宋" w:eastAsia="仿宋" w:cs="仿宋"/>
          <w:color w:val="auto"/>
          <w:sz w:val="32"/>
          <w:szCs w:val="32"/>
          <w:lang w:val="en-US" w:eastAsia="zh-CN"/>
        </w:rPr>
        <w:t>整体拍卖大冶市8处尾矿库固废综合利用处置权，库容量约5836.91万吨，每吨2.50元，合计参考价约为14592.3万元。</w:t>
      </w:r>
    </w:p>
    <w:p w14:paraId="74F0E224">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二、拍卖标的的展示及情况说明</w:t>
      </w:r>
    </w:p>
    <w:p w14:paraId="79B021BC">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1、标的自公告之日起在存放地进行展示。</w:t>
      </w:r>
    </w:p>
    <w:p w14:paraId="6423005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在竞买前应对标的现状仔细勘察并予以确认，放弃现场勘察核实的权利所产生的后果，由竞买人自行承担。意向竞买人报名手续一经受理确认，即表明意向竞买人对标的物存放现状无异议并全部接受，由此产生的相关法律责任和后果，包括但不限于由此产生的费用、风险和损失，由买受人自行承担。</w:t>
      </w:r>
    </w:p>
    <w:p w14:paraId="6009FFE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三、竞买登记的办理</w:t>
      </w:r>
    </w:p>
    <w:p w14:paraId="00C172A2">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1、参与竞买的意向竞买人应在规定时间内以转账的形式，按</w:t>
      </w:r>
      <w:r>
        <w:rPr>
          <w:rFonts w:hint="eastAsia" w:ascii="仿宋" w:hAnsi="仿宋" w:eastAsia="仿宋" w:cs="仿宋"/>
          <w:color w:val="auto"/>
          <w:sz w:val="32"/>
          <w:szCs w:val="32"/>
          <w:lang w:val="en-US" w:eastAsia="zh-CN"/>
        </w:rPr>
        <w:t>上述</w:t>
      </w:r>
      <w:r>
        <w:rPr>
          <w:rFonts w:hint="eastAsia" w:ascii="仿宋" w:hAnsi="仿宋" w:eastAsia="仿宋" w:cs="仿宋"/>
          <w:color w:val="auto"/>
          <w:sz w:val="32"/>
          <w:szCs w:val="32"/>
        </w:rPr>
        <w:t>标准交纳竞买保证金，转账需备注“</w:t>
      </w:r>
      <w:r>
        <w:rPr>
          <w:rFonts w:hint="eastAsia" w:ascii="仿宋" w:hAnsi="仿宋" w:eastAsia="仿宋" w:cs="仿宋"/>
          <w:color w:val="auto"/>
          <w:sz w:val="32"/>
          <w:szCs w:val="32"/>
          <w:lang w:val="en-US" w:eastAsia="zh-CN"/>
        </w:rPr>
        <w:t>尾矿库竞买保证金</w:t>
      </w:r>
      <w:r>
        <w:rPr>
          <w:rFonts w:hint="eastAsia" w:ascii="仿宋" w:hAnsi="仿宋" w:eastAsia="仿宋" w:cs="仿宋"/>
          <w:color w:val="auto"/>
          <w:sz w:val="32"/>
          <w:szCs w:val="32"/>
        </w:rPr>
        <w:t>”字样。本公司确认竞买人交纳的竞买保证金</w:t>
      </w:r>
      <w:r>
        <w:rPr>
          <w:rFonts w:hint="eastAsia" w:ascii="仿宋" w:hAnsi="仿宋" w:eastAsia="仿宋" w:cs="仿宋"/>
          <w:color w:val="auto"/>
          <w:sz w:val="32"/>
          <w:szCs w:val="32"/>
          <w:lang w:eastAsia="zh-CN"/>
        </w:rPr>
        <w:t>（以银行实际到账时间为准，逾期无效）</w:t>
      </w:r>
      <w:r>
        <w:rPr>
          <w:rFonts w:hint="eastAsia" w:ascii="仿宋" w:hAnsi="仿宋" w:eastAsia="仿宋" w:cs="仿宋"/>
          <w:color w:val="auto"/>
          <w:sz w:val="32"/>
          <w:szCs w:val="32"/>
        </w:rPr>
        <w:t>，即与竞买人办理登记手续。交纳竞买保证金截止时间为</w:t>
      </w:r>
      <w:r>
        <w:rPr>
          <w:rFonts w:hint="eastAsia" w:ascii="仿宋" w:hAnsi="仿宋" w:eastAsia="仿宋" w:cs="仿宋"/>
          <w:color w:val="auto"/>
          <w:sz w:val="32"/>
          <w:szCs w:val="32"/>
          <w:lang w:eastAsia="zh-CN"/>
        </w:rPr>
        <w:t>2025年9月25日下午4时</w:t>
      </w:r>
      <w:r>
        <w:rPr>
          <w:rFonts w:hint="eastAsia" w:ascii="仿宋" w:hAnsi="仿宋" w:eastAsia="仿宋" w:cs="仿宋"/>
          <w:color w:val="auto"/>
          <w:sz w:val="32"/>
          <w:szCs w:val="32"/>
        </w:rPr>
        <w:t>止。账户如下：</w:t>
      </w:r>
    </w:p>
    <w:p w14:paraId="398A974C">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账户名称：</w:t>
      </w:r>
      <w:r>
        <w:rPr>
          <w:rFonts w:hint="eastAsia" w:ascii="仿宋" w:hAnsi="仿宋" w:eastAsia="仿宋" w:cs="仿宋"/>
          <w:color w:val="auto"/>
          <w:sz w:val="32"/>
          <w:szCs w:val="32"/>
          <w:lang w:eastAsia="zh-CN"/>
        </w:rPr>
        <w:t>湖北励勤拍卖有限公司</w:t>
      </w:r>
    </w:p>
    <w:p w14:paraId="082D55B2">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户</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行：</w:t>
      </w:r>
      <w:r>
        <w:rPr>
          <w:rFonts w:hint="eastAsia" w:ascii="仿宋" w:hAnsi="仿宋" w:eastAsia="仿宋" w:cs="仿宋"/>
          <w:color w:val="auto"/>
          <w:sz w:val="32"/>
          <w:szCs w:val="32"/>
          <w:lang w:eastAsia="zh-CN"/>
        </w:rPr>
        <w:t>湖北大冶农村商业银行股份有限公司</w:t>
      </w:r>
    </w:p>
    <w:p w14:paraId="4EA38CEC">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账</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8201 0000 0054 73491</w:t>
      </w:r>
      <w:r>
        <w:rPr>
          <w:rFonts w:hint="eastAsia" w:ascii="仿宋" w:hAnsi="仿宋" w:eastAsia="仿宋" w:cs="仿宋"/>
          <w:color w:val="auto"/>
          <w:sz w:val="32"/>
          <w:szCs w:val="32"/>
          <w:lang w:val="en-US" w:eastAsia="zh-CN"/>
        </w:rPr>
        <w:t xml:space="preserve">           </w:t>
      </w:r>
    </w:p>
    <w:p w14:paraId="2AADB2F5">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办理竞买登记手续的地点：</w:t>
      </w:r>
      <w:r>
        <w:rPr>
          <w:rFonts w:hint="eastAsia" w:ascii="仿宋" w:hAnsi="仿宋" w:eastAsia="仿宋" w:cs="仿宋"/>
          <w:color w:val="auto"/>
          <w:sz w:val="32"/>
          <w:szCs w:val="32"/>
          <w:lang w:val="en-US" w:eastAsia="zh-CN"/>
        </w:rPr>
        <w:t>湖北励勤拍卖有限公司</w:t>
      </w:r>
    </w:p>
    <w:p w14:paraId="0FA197A0">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3、竞买人资格：</w:t>
      </w:r>
      <w:r>
        <w:rPr>
          <w:rFonts w:hint="eastAsia" w:ascii="仿宋" w:hAnsi="仿宋" w:eastAsia="仿宋" w:cs="仿宋"/>
          <w:color w:val="auto"/>
          <w:sz w:val="32"/>
          <w:szCs w:val="32"/>
          <w:lang w:val="en-US" w:eastAsia="zh-CN"/>
        </w:rPr>
        <w:t>竞买人须为依法注册且有效存续的单位或具有完全民事行为能力的个人（含个体工商户）。</w:t>
      </w:r>
    </w:p>
    <w:p w14:paraId="5B8E4A9F">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（一）单位提供以下资料：一式肆份，每页加盖公章。</w:t>
      </w:r>
    </w:p>
    <w:p w14:paraId="4C1AEE2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1）营业执照</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法人身份证</w:t>
      </w:r>
      <w:r>
        <w:rPr>
          <w:rFonts w:hint="eastAsia" w:ascii="仿宋" w:hAnsi="仿宋" w:eastAsia="仿宋" w:cs="仿宋"/>
          <w:color w:val="auto"/>
          <w:sz w:val="32"/>
          <w:szCs w:val="32"/>
          <w:lang w:val="en-US" w:eastAsia="zh-CN"/>
        </w:rPr>
        <w:t>复印件；</w:t>
      </w:r>
    </w:p>
    <w:p w14:paraId="187E1FE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（2）代理人身份证</w:t>
      </w:r>
      <w:r>
        <w:rPr>
          <w:rFonts w:hint="eastAsia" w:ascii="仿宋" w:hAnsi="仿宋" w:eastAsia="仿宋" w:cs="仿宋"/>
          <w:color w:val="auto"/>
          <w:sz w:val="32"/>
          <w:szCs w:val="32"/>
          <w:lang w:val="en-US" w:eastAsia="zh-CN"/>
        </w:rPr>
        <w:t>复印件</w:t>
      </w:r>
      <w:r>
        <w:rPr>
          <w:rFonts w:hint="eastAsia" w:ascii="仿宋" w:hAnsi="仿宋" w:eastAsia="仿宋" w:cs="仿宋"/>
          <w:color w:val="auto"/>
          <w:sz w:val="32"/>
          <w:szCs w:val="32"/>
        </w:rPr>
        <w:t>以及授权委托书原件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如适用</w:t>
      </w:r>
      <w:r>
        <w:rPr>
          <w:rFonts w:hint="eastAsia" w:ascii="仿宋" w:hAnsi="仿宋" w:eastAsia="仿宋" w:cs="仿宋"/>
          <w:color w:val="auto"/>
          <w:sz w:val="32"/>
          <w:szCs w:val="32"/>
          <w:lang w:eastAsia="zh-CN"/>
        </w:rPr>
        <w:t>）；</w:t>
      </w:r>
    </w:p>
    <w:p w14:paraId="3148202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（3）信用中国查询的</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信用报告。</w:t>
      </w:r>
    </w:p>
    <w:p w14:paraId="6C422A39">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（二）个人提供以下资料：一式肆份，每页加盖手印。</w:t>
      </w:r>
    </w:p>
    <w:p w14:paraId="6DB4A13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（1）个人身份证复印件；</w:t>
      </w:r>
    </w:p>
    <w:p w14:paraId="479C2736">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代理人身份证</w:t>
      </w:r>
      <w:r>
        <w:rPr>
          <w:rFonts w:hint="eastAsia" w:ascii="仿宋" w:hAnsi="仿宋" w:eastAsia="仿宋" w:cs="仿宋"/>
          <w:color w:val="auto"/>
          <w:sz w:val="32"/>
          <w:szCs w:val="32"/>
          <w:lang w:val="en-US" w:eastAsia="zh-CN"/>
        </w:rPr>
        <w:t>复印件</w:t>
      </w:r>
      <w:r>
        <w:rPr>
          <w:rFonts w:hint="eastAsia" w:ascii="仿宋" w:hAnsi="仿宋" w:eastAsia="仿宋" w:cs="仿宋"/>
          <w:color w:val="auto"/>
          <w:sz w:val="32"/>
          <w:szCs w:val="32"/>
        </w:rPr>
        <w:t>以及授权委托书原件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如适用</w:t>
      </w:r>
      <w:r>
        <w:rPr>
          <w:rFonts w:hint="eastAsia" w:ascii="仿宋" w:hAnsi="仿宋" w:eastAsia="仿宋" w:cs="仿宋"/>
          <w:color w:val="auto"/>
          <w:sz w:val="32"/>
          <w:szCs w:val="32"/>
          <w:lang w:eastAsia="zh-CN"/>
        </w:rPr>
        <w:t>）；</w:t>
      </w:r>
    </w:p>
    <w:p w14:paraId="228DD9E8">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信用中国</w:t>
      </w:r>
      <w:r>
        <w:rPr>
          <w:rFonts w:hint="eastAsia" w:ascii="仿宋" w:hAnsi="仿宋" w:eastAsia="仿宋" w:cs="仿宋"/>
          <w:color w:val="auto"/>
          <w:sz w:val="32"/>
          <w:szCs w:val="32"/>
          <w:lang w:val="en-US" w:eastAsia="zh-CN"/>
        </w:rPr>
        <w:t>或中国人民银行查询</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个人</w:t>
      </w:r>
      <w:r>
        <w:rPr>
          <w:rFonts w:hint="eastAsia" w:ascii="仿宋" w:hAnsi="仿宋" w:eastAsia="仿宋" w:cs="仿宋"/>
          <w:color w:val="auto"/>
          <w:sz w:val="32"/>
          <w:szCs w:val="32"/>
        </w:rPr>
        <w:t>信用报告</w:t>
      </w:r>
      <w:r>
        <w:rPr>
          <w:rFonts w:hint="eastAsia" w:ascii="仿宋" w:hAnsi="仿宋" w:eastAsia="仿宋" w:cs="仿宋"/>
          <w:color w:val="auto"/>
          <w:sz w:val="32"/>
          <w:szCs w:val="32"/>
          <w:lang w:eastAsia="zh-CN"/>
        </w:rPr>
        <w:t>。</w:t>
      </w:r>
    </w:p>
    <w:p w14:paraId="58DB5E7B">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个体工商户参照单位提供营业执照，提供经营者个人信用报告。</w:t>
      </w:r>
    </w:p>
    <w:p w14:paraId="0E6A3DBA">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在参与拍卖交易活动期间，单位及自然人须在“信用中国”网站（http://www.creditchina.gov.cn）下载打印《信用信息报告》，自然人也可在中国人民银行当地营业厅打印《个人信用报告》。若存在失信记录不能参加拍卖活动，其竞买申请为无效申请。</w:t>
      </w:r>
    </w:p>
    <w:p w14:paraId="4F4DD770">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四、竞买保证金</w:t>
      </w:r>
    </w:p>
    <w:p w14:paraId="59FEBB9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竞买保证金</w:t>
      </w:r>
      <w:r>
        <w:rPr>
          <w:rFonts w:hint="eastAsia" w:ascii="仿宋" w:hAnsi="仿宋" w:eastAsia="仿宋" w:cs="仿宋"/>
          <w:color w:val="auto"/>
          <w:sz w:val="32"/>
          <w:szCs w:val="32"/>
          <w:lang w:val="en-US" w:eastAsia="zh-CN"/>
        </w:rPr>
        <w:t>金额为肆万元整（</w:t>
      </w:r>
      <w:r>
        <w:rPr>
          <w:rFonts w:hint="default" w:ascii="Arial" w:hAnsi="Arial" w:eastAsia="仿宋" w:cs="Arial"/>
          <w:color w:val="auto"/>
          <w:sz w:val="32"/>
          <w:szCs w:val="32"/>
          <w:lang w:val="en-US" w:eastAsia="zh-CN"/>
        </w:rPr>
        <w:t>¥</w:t>
      </w:r>
      <w:r>
        <w:rPr>
          <w:rFonts w:hint="eastAsia" w:ascii="仿宋" w:hAnsi="仿宋" w:eastAsia="仿宋" w:cs="仿宋"/>
          <w:color w:val="auto"/>
          <w:sz w:val="32"/>
          <w:szCs w:val="32"/>
          <w:lang w:val="en-US" w:eastAsia="zh-CN"/>
        </w:rPr>
        <w:t>40000.00元）；</w:t>
      </w:r>
    </w:p>
    <w:p w14:paraId="1288EEB5">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、经拍卖成交的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买受人按每处尾矿库向拍卖人支付拍卖佣金0.5万元，</w:t>
      </w:r>
      <w:r>
        <w:rPr>
          <w:rFonts w:hint="eastAsia" w:ascii="仿宋" w:hAnsi="仿宋" w:eastAsia="仿宋" w:cs="仿宋"/>
          <w:b/>
          <w:bCs/>
          <w:color w:val="auto"/>
          <w:sz w:val="32"/>
          <w:szCs w:val="32"/>
          <w:lang w:val="en-US" w:eastAsia="zh-CN"/>
        </w:rPr>
        <w:t>拍卖佣金合计4万元</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拍卖成交后，</w:t>
      </w:r>
      <w:r>
        <w:rPr>
          <w:rFonts w:hint="eastAsia" w:ascii="仿宋" w:hAnsi="仿宋" w:eastAsia="仿宋" w:cs="仿宋"/>
          <w:color w:val="auto"/>
          <w:sz w:val="32"/>
          <w:szCs w:val="32"/>
          <w:lang w:val="en-US" w:eastAsia="zh-CN"/>
        </w:rPr>
        <w:t>买受人</w:t>
      </w:r>
      <w:r>
        <w:rPr>
          <w:rFonts w:hint="eastAsia" w:ascii="仿宋" w:hAnsi="仿宋" w:eastAsia="仿宋" w:cs="仿宋"/>
          <w:color w:val="auto"/>
          <w:sz w:val="32"/>
          <w:szCs w:val="32"/>
        </w:rPr>
        <w:t>交纳的竞买保证金将用于支付拍卖人的拍卖佣金。</w:t>
      </w:r>
    </w:p>
    <w:p w14:paraId="11346433">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2、竞买人竞买未成功的，竞买保证金将在拍卖会结束后五个工作日由收款单位按原账户返回（不计利息）。</w:t>
      </w:r>
    </w:p>
    <w:p w14:paraId="44A79327">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五、拍卖会前的登记入场</w:t>
      </w:r>
    </w:p>
    <w:p w14:paraId="2CD609F2">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人入场前需到本公司指定登记处，持竞买资格确认书、竞买人身份证明等，换取竞买号牌。每个号牌限二人进场。竞买人逾期或未参加拍卖会的，视为自动放弃竞买标的的权利，由此产生的法律后果，由竞买人自行承担。</w:t>
      </w:r>
    </w:p>
    <w:p w14:paraId="115328DB">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六、拍卖会规则</w:t>
      </w:r>
    </w:p>
    <w:p w14:paraId="3489A7E6">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1、凡参加本场拍卖会的竞买人，一经竞价，即表明已接受标的一切现状，认可本公司本场拍卖会的拍卖规则并对自己参与竞买的行为负责。</w:t>
      </w:r>
    </w:p>
    <w:p w14:paraId="5CD57B29">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2、竞价规则：</w:t>
      </w:r>
    </w:p>
    <w:p w14:paraId="71B62A5F">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3B58AEDA">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七、拍卖成交价款支付</w:t>
      </w:r>
    </w:p>
    <w:p w14:paraId="7AF78A97">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拍卖成交后，买受人按五年分批次付清拍卖价款。前四年按</w:t>
      </w:r>
      <w:r>
        <w:rPr>
          <w:rFonts w:hint="eastAsia" w:ascii="仿宋" w:hAnsi="仿宋" w:eastAsia="仿宋" w:cs="仿宋"/>
          <w:b/>
          <w:bCs/>
          <w:color w:val="auto"/>
          <w:sz w:val="32"/>
          <w:szCs w:val="32"/>
        </w:rPr>
        <w:t>成交价款的10%</w:t>
      </w:r>
      <w:r>
        <w:rPr>
          <w:rFonts w:hint="eastAsia" w:ascii="仿宋" w:hAnsi="仿宋" w:eastAsia="仿宋" w:cs="仿宋"/>
          <w:color w:val="auto"/>
          <w:sz w:val="32"/>
          <w:szCs w:val="32"/>
        </w:rPr>
        <w:t>每年支付至委托人指定账户；第五年按成交价款的60%支付给委托人指定账户。第一笔成交价款买受人应在拍卖成交之日起30日内支付给委托人，其他具体付款时间由委托人与买受人另行约定。</w:t>
      </w:r>
    </w:p>
    <w:p w14:paraId="5F9BE56E">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收款人账号和开户银行在大冶市自然资源和规划局出具缴款通知书时由湖北省非税收入管理系统随机产生的账号。</w:t>
      </w:r>
    </w:p>
    <w:p w14:paraId="296C87B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买受人应于拍卖成交之日起30日内与委托方签订《大冶市尾矿库</w:t>
      </w:r>
      <w:r>
        <w:rPr>
          <w:rFonts w:hint="eastAsia" w:ascii="仿宋" w:hAnsi="仿宋" w:eastAsia="仿宋" w:cs="仿宋"/>
          <w:color w:val="auto"/>
          <w:sz w:val="32"/>
          <w:szCs w:val="32"/>
          <w:lang w:val="en-US" w:eastAsia="zh-CN"/>
        </w:rPr>
        <w:t>固废</w:t>
      </w:r>
      <w:r>
        <w:rPr>
          <w:rFonts w:hint="eastAsia" w:ascii="仿宋" w:hAnsi="仿宋" w:eastAsia="仿宋" w:cs="仿宋"/>
          <w:color w:val="auto"/>
          <w:sz w:val="32"/>
          <w:szCs w:val="32"/>
          <w:lang w:eastAsia="zh-CN"/>
        </w:rPr>
        <w:t>综合利用处置权</w:t>
      </w:r>
      <w:r>
        <w:rPr>
          <w:rFonts w:hint="eastAsia" w:ascii="仿宋" w:hAnsi="仿宋" w:eastAsia="仿宋" w:cs="仿宋"/>
          <w:color w:val="auto"/>
          <w:sz w:val="32"/>
          <w:szCs w:val="32"/>
        </w:rPr>
        <w:t>合同》。</w:t>
      </w:r>
    </w:p>
    <w:p w14:paraId="5B0D5870">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、拍卖标的移交</w:t>
      </w:r>
    </w:p>
    <w:p w14:paraId="51FEE9B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1、本次拍卖标的物为尾矿库</w:t>
      </w:r>
      <w:r>
        <w:rPr>
          <w:rFonts w:hint="eastAsia" w:ascii="仿宋" w:hAnsi="仿宋" w:eastAsia="仿宋" w:cs="仿宋"/>
          <w:color w:val="auto"/>
          <w:sz w:val="32"/>
          <w:szCs w:val="32"/>
          <w:lang w:val="en-US" w:eastAsia="zh-CN"/>
        </w:rPr>
        <w:t>固废</w:t>
      </w:r>
      <w:r>
        <w:rPr>
          <w:rFonts w:hint="eastAsia" w:ascii="仿宋" w:hAnsi="仿宋" w:eastAsia="仿宋" w:cs="仿宋"/>
          <w:color w:val="auto"/>
          <w:sz w:val="32"/>
          <w:szCs w:val="32"/>
          <w:lang w:eastAsia="zh-CN"/>
        </w:rPr>
        <w:t>综合利用处置权</w:t>
      </w:r>
      <w:r>
        <w:rPr>
          <w:rFonts w:hint="eastAsia" w:ascii="仿宋" w:hAnsi="仿宋" w:eastAsia="仿宋" w:cs="仿宋"/>
          <w:color w:val="auto"/>
          <w:sz w:val="32"/>
          <w:szCs w:val="32"/>
        </w:rPr>
        <w:t>。拍卖成交后，拍卖标的物由委托人按原状分次向买受人交付，对尾矿库的质量不作任何承诺。买受人承担尾矿库处置过程中的所有费用（包括税金）及法律责任。</w:t>
      </w:r>
    </w:p>
    <w:p w14:paraId="4AC08FCC">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pacing w:val="-6"/>
          <w:kern w:val="0"/>
          <w:sz w:val="32"/>
          <w:szCs w:val="32"/>
        </w:rPr>
        <w:t>对大冶市多处已经关闭多年或已公告关闭的尾矿库内矿产资源</w:t>
      </w:r>
      <w:r>
        <w:rPr>
          <w:rFonts w:hint="eastAsia" w:ascii="仿宋" w:hAnsi="仿宋" w:eastAsia="仿宋" w:cs="仿宋"/>
          <w:color w:val="auto"/>
          <w:spacing w:val="-6"/>
          <w:kern w:val="0"/>
          <w:sz w:val="32"/>
          <w:szCs w:val="32"/>
          <w:lang w:val="en-US" w:eastAsia="zh-CN"/>
        </w:rPr>
        <w:t>的</w:t>
      </w:r>
      <w:r>
        <w:rPr>
          <w:rFonts w:hint="eastAsia" w:ascii="仿宋" w:hAnsi="仿宋" w:eastAsia="仿宋" w:cs="仿宋"/>
          <w:color w:val="auto"/>
          <w:spacing w:val="-6"/>
          <w:kern w:val="0"/>
          <w:sz w:val="32"/>
          <w:szCs w:val="32"/>
        </w:rPr>
        <w:t>固废综合利用处置</w:t>
      </w:r>
      <w:r>
        <w:rPr>
          <w:rFonts w:hint="eastAsia" w:ascii="仿宋" w:hAnsi="仿宋" w:eastAsia="仿宋" w:cs="仿宋"/>
          <w:color w:val="auto"/>
          <w:spacing w:val="-6"/>
          <w:kern w:val="0"/>
          <w:sz w:val="32"/>
          <w:szCs w:val="32"/>
          <w:lang w:val="en-US" w:eastAsia="zh-CN"/>
        </w:rPr>
        <w:t>权</w:t>
      </w:r>
      <w:r>
        <w:rPr>
          <w:rFonts w:hint="eastAsia" w:ascii="仿宋" w:hAnsi="仿宋" w:eastAsia="仿宋" w:cs="仿宋"/>
          <w:color w:val="auto"/>
          <w:spacing w:val="-6"/>
          <w:kern w:val="0"/>
          <w:sz w:val="32"/>
          <w:szCs w:val="32"/>
          <w:lang w:eastAsia="zh-CN"/>
        </w:rPr>
        <w:t>（</w:t>
      </w:r>
      <w:r>
        <w:rPr>
          <w:rFonts w:hint="eastAsia" w:ascii="仿宋" w:hAnsi="仿宋" w:eastAsia="仿宋" w:cs="仿宋"/>
          <w:color w:val="auto"/>
          <w:spacing w:val="-6"/>
          <w:kern w:val="0"/>
          <w:sz w:val="32"/>
          <w:szCs w:val="32"/>
        </w:rPr>
        <w:t>没有公告关闭的尾矿库在使用权人无先进技术开发的前提下，可鼓励引进第三方先进技术进行尾矿库资源的开发利用</w:t>
      </w:r>
      <w:r>
        <w:rPr>
          <w:rFonts w:hint="eastAsia" w:ascii="仿宋" w:hAnsi="仿宋" w:eastAsia="仿宋" w:cs="仿宋"/>
          <w:color w:val="auto"/>
          <w:spacing w:val="-6"/>
          <w:kern w:val="0"/>
          <w:sz w:val="32"/>
          <w:szCs w:val="32"/>
          <w:lang w:eastAsia="zh-CN"/>
        </w:rPr>
        <w:t>），</w:t>
      </w:r>
      <w:r>
        <w:rPr>
          <w:rFonts w:hint="eastAsia" w:ascii="仿宋" w:hAnsi="仿宋" w:eastAsia="仿宋" w:cs="仿宋"/>
          <w:color w:val="auto"/>
          <w:spacing w:val="-6"/>
          <w:kern w:val="0"/>
          <w:sz w:val="32"/>
          <w:szCs w:val="32"/>
        </w:rPr>
        <w:t>在开发利用必须遵守国家安全生产、环保保护、矿产资源开发利用的相关法规政策规定，并获得相关部门审批</w:t>
      </w:r>
      <w:r>
        <w:rPr>
          <w:rFonts w:hint="eastAsia" w:ascii="仿宋" w:hAnsi="仿宋" w:eastAsia="仿宋" w:cs="仿宋"/>
          <w:color w:val="auto"/>
          <w:spacing w:val="-6"/>
          <w:kern w:val="0"/>
          <w:sz w:val="32"/>
          <w:szCs w:val="32"/>
          <w:lang w:eastAsia="zh-CN"/>
        </w:rPr>
        <w:t>。</w:t>
      </w:r>
    </w:p>
    <w:p w14:paraId="2269B69E">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3、买受人取得尾矿库固废综合利用处置权后，如进行开发利用，还需取得应急、生态环境等部门的审批许可手续</w:t>
      </w:r>
      <w:r>
        <w:rPr>
          <w:rFonts w:hint="eastAsia" w:ascii="仿宋" w:hAnsi="仿宋" w:eastAsia="仿宋" w:cs="仿宋"/>
          <w:color w:val="auto"/>
          <w:sz w:val="32"/>
          <w:szCs w:val="32"/>
        </w:rPr>
        <w:t>。</w:t>
      </w:r>
    </w:p>
    <w:p w14:paraId="349FCEEC">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九、竞买人必须遵守拍卖现场的公共秩序，一旦发生阻挠其他竞买人应价、报价或妨碍拍卖师进行正常拍卖工作的行为，即取消其竞买人资格。</w:t>
      </w:r>
    </w:p>
    <w:p w14:paraId="7A48AD1D">
      <w:pPr>
        <w:keepNext w:val="0"/>
        <w:keepLines w:val="0"/>
        <w:pageBreakBefore w:val="0"/>
        <w:kinsoku/>
        <w:wordWrap/>
        <w:overflowPunct/>
        <w:topLinePunct w:val="0"/>
        <w:bidi w:val="0"/>
        <w:adjustRightInd w:val="0"/>
        <w:snapToGri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十、尾矿库处置量拍卖的数量及规格均以现状为准，委托人和拍卖人不承担瑕疵担保责任。委托人和拍卖人不作任何担保。</w:t>
      </w:r>
    </w:p>
    <w:p w14:paraId="2DB7F933">
      <w:pPr>
        <w:pStyle w:val="12"/>
        <w:keepNext w:val="0"/>
        <w:keepLines w:val="0"/>
        <w:pageBreakBefore w:val="0"/>
        <w:kinsoku/>
        <w:wordWrap/>
        <w:overflowPunct/>
        <w:topLinePunct w:val="0"/>
        <w:bidi w:val="0"/>
        <w:spacing w:line="560" w:lineRule="atLeast"/>
        <w:ind w:firstLine="624" w:firstLineChars="19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十一、竞买登记前，竞买人应实地踏勘运输路线，竞买成交后，拍卖标的运输保障、损耗及安全风险等均由竞买人自行承担。</w:t>
      </w:r>
    </w:p>
    <w:p w14:paraId="7383703E">
      <w:pPr>
        <w:pStyle w:val="12"/>
        <w:keepNext w:val="0"/>
        <w:keepLines w:val="0"/>
        <w:pageBreakBefore w:val="0"/>
        <w:kinsoku/>
        <w:wordWrap/>
        <w:overflowPunct/>
        <w:topLinePunct w:val="0"/>
        <w:bidi w:val="0"/>
        <w:spacing w:line="560" w:lineRule="atLeas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十二、因法律法规、国家或地方的产业、环保规划调整等相关政策原因，该拍卖标的项目必须终（中）止的，须无条件终（中）止。</w:t>
      </w:r>
    </w:p>
    <w:p w14:paraId="4546DB05">
      <w:pPr>
        <w:pStyle w:val="12"/>
        <w:keepNext w:val="0"/>
        <w:keepLines w:val="0"/>
        <w:pageBreakBefore w:val="0"/>
        <w:kinsoku/>
        <w:wordWrap/>
        <w:overflowPunct/>
        <w:topLinePunct w:val="0"/>
        <w:bidi w:val="0"/>
        <w:spacing w:line="560" w:lineRule="atLeast"/>
        <w:ind w:firstLine="624" w:firstLineChars="19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十三、竞买人在竞拍前已经仔细阅读并充分理解了拍卖人提供的所有文件资料，愿意遵照所有相关条款的规定，对参与竞拍的行为承担法律和经济责任。</w:t>
      </w:r>
    </w:p>
    <w:p w14:paraId="5D9A1A3B">
      <w:pPr>
        <w:pStyle w:val="12"/>
        <w:keepNext w:val="0"/>
        <w:keepLines w:val="0"/>
        <w:pageBreakBefore w:val="0"/>
        <w:kinsoku/>
        <w:wordWrap/>
        <w:overflowPunct/>
        <w:topLinePunct w:val="0"/>
        <w:bidi w:val="0"/>
        <w:spacing w:line="560" w:lineRule="atLeast"/>
        <w:ind w:firstLine="624" w:firstLineChars="19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十四、拍卖人对本竞买须知保留最终解释权。</w:t>
      </w:r>
    </w:p>
    <w:p w14:paraId="1712FA7B">
      <w:pPr>
        <w:keepNext w:val="0"/>
        <w:keepLines w:val="0"/>
        <w:pageBreakBefore w:val="0"/>
        <w:kinsoku/>
        <w:wordWrap/>
        <w:overflowPunct/>
        <w:topLinePunct w:val="0"/>
        <w:autoSpaceDE w:val="0"/>
        <w:autoSpaceDN w:val="0"/>
        <w:bidi w:val="0"/>
        <w:adjustRightInd w:val="0"/>
        <w:spacing w:line="560" w:lineRule="atLeast"/>
        <w:ind w:firstLine="4160" w:firstLineChars="1300"/>
        <w:jc w:val="center"/>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pacing w:val="-6"/>
          <w:kern w:val="0"/>
          <w:sz w:val="32"/>
          <w:szCs w:val="32"/>
          <w:lang w:eastAsia="zh-CN"/>
        </w:rPr>
        <w:t>湖北励勤拍卖有限公司</w:t>
      </w:r>
    </w:p>
    <w:p w14:paraId="77C6B000">
      <w:pPr>
        <w:keepNext w:val="0"/>
        <w:keepLines w:val="0"/>
        <w:pageBreakBefore w:val="0"/>
        <w:kinsoku/>
        <w:wordWrap/>
        <w:overflowPunct/>
        <w:topLinePunct w:val="0"/>
        <w:autoSpaceDE w:val="0"/>
        <w:autoSpaceDN w:val="0"/>
        <w:bidi w:val="0"/>
        <w:adjustRightInd w:val="0"/>
        <w:spacing w:line="560" w:lineRule="atLeast"/>
        <w:ind w:firstLine="616" w:firstLineChars="200"/>
        <w:jc w:val="center"/>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rPr>
        <w:t xml:space="preserve">                                          </w:t>
      </w:r>
      <w:r>
        <w:rPr>
          <w:rFonts w:hint="eastAsia" w:ascii="仿宋" w:hAnsi="仿宋" w:eastAsia="仿宋" w:cs="仿宋"/>
          <w:color w:val="auto"/>
          <w:spacing w:val="-6"/>
          <w:kern w:val="0"/>
          <w:sz w:val="32"/>
          <w:szCs w:val="32"/>
          <w:lang w:eastAsia="zh-CN"/>
        </w:rPr>
        <w:t xml:space="preserve"> 2025年9月19日</w:t>
      </w:r>
    </w:p>
    <w:p w14:paraId="5041EC93">
      <w:pPr>
        <w:keepNext w:val="0"/>
        <w:keepLines w:val="0"/>
        <w:pageBreakBefore w:val="0"/>
        <w:kinsoku/>
        <w:wordWrap/>
        <w:overflowPunct/>
        <w:topLinePunct w:val="0"/>
        <w:autoSpaceDE/>
        <w:autoSpaceDN/>
        <w:bidi w:val="0"/>
        <w:adjustRightInd/>
        <w:snapToGrid/>
        <w:spacing w:before="100" w:beforeAutospacing="1" w:line="560" w:lineRule="exact"/>
        <w:ind w:firstLine="562" w:firstLineChars="200"/>
        <w:textAlignment w:val="auto"/>
        <w:rPr>
          <w:rFonts w:hint="eastAsia" w:ascii="仿宋" w:hAnsi="仿宋" w:eastAsia="仿宋" w:cs="仿宋"/>
          <w:b/>
          <w:bCs/>
          <w:color w:val="auto"/>
          <w:sz w:val="28"/>
          <w:szCs w:val="28"/>
        </w:rPr>
      </w:pPr>
    </w:p>
    <w:p w14:paraId="0A7FA9F4">
      <w:pPr>
        <w:keepNext w:val="0"/>
        <w:keepLines w:val="0"/>
        <w:pageBreakBefore w:val="0"/>
        <w:kinsoku/>
        <w:wordWrap/>
        <w:overflowPunct/>
        <w:topLinePunct w:val="0"/>
        <w:autoSpaceDE/>
        <w:autoSpaceDN/>
        <w:bidi w:val="0"/>
        <w:adjustRightInd/>
        <w:snapToGrid/>
        <w:spacing w:before="100" w:beforeAutospacing="1"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上述内容，本</w:t>
      </w:r>
      <w:r>
        <w:rPr>
          <w:rFonts w:hint="eastAsia" w:ascii="仿宋" w:hAnsi="仿宋" w:eastAsia="仿宋" w:cs="仿宋"/>
          <w:b/>
          <w:bCs/>
          <w:color w:val="auto"/>
          <w:sz w:val="28"/>
          <w:szCs w:val="28"/>
          <w:lang w:val="en-US" w:eastAsia="zh-CN"/>
        </w:rPr>
        <w:t>竞买人</w:t>
      </w:r>
      <w:r>
        <w:rPr>
          <w:rFonts w:hint="eastAsia" w:ascii="仿宋" w:hAnsi="仿宋" w:eastAsia="仿宋" w:cs="仿宋"/>
          <w:b/>
          <w:bCs/>
          <w:color w:val="auto"/>
          <w:sz w:val="28"/>
          <w:szCs w:val="28"/>
        </w:rPr>
        <w:t>已认真阅读并全部知晓，无任何异议，自愿参加竞买，并对本</w:t>
      </w:r>
      <w:r>
        <w:rPr>
          <w:rFonts w:hint="eastAsia" w:ascii="仿宋" w:hAnsi="仿宋" w:eastAsia="仿宋" w:cs="仿宋"/>
          <w:b/>
          <w:bCs/>
          <w:color w:val="auto"/>
          <w:sz w:val="28"/>
          <w:szCs w:val="28"/>
          <w:lang w:val="en-US" w:eastAsia="zh-CN"/>
        </w:rPr>
        <w:t>竞买人</w:t>
      </w:r>
      <w:r>
        <w:rPr>
          <w:rFonts w:hint="eastAsia" w:ascii="仿宋" w:hAnsi="仿宋" w:eastAsia="仿宋" w:cs="仿宋"/>
          <w:b/>
          <w:bCs/>
          <w:color w:val="auto"/>
          <w:sz w:val="28"/>
          <w:szCs w:val="28"/>
        </w:rPr>
        <w:t>参加竞买的行为承担法律和经济责任。</w:t>
      </w:r>
    </w:p>
    <w:p w14:paraId="6C9ACEC4">
      <w:pPr>
        <w:keepNext w:val="0"/>
        <w:keepLines w:val="0"/>
        <w:pageBreakBefore w:val="0"/>
        <w:kinsoku/>
        <w:wordWrap/>
        <w:overflowPunct/>
        <w:topLinePunct w:val="0"/>
        <w:autoSpaceDE/>
        <w:autoSpaceDN/>
        <w:bidi w:val="0"/>
        <w:adjustRightInd/>
        <w:snapToGrid/>
        <w:spacing w:before="100" w:beforeAutospacing="1" w:line="560" w:lineRule="exact"/>
        <w:ind w:firstLine="56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rPr>
        <w:t>竞买人（签章）：</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期：</w:t>
      </w:r>
    </w:p>
    <w:p w14:paraId="749E99D1">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p>
    <w:p w14:paraId="5BB62736">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p>
    <w:p w14:paraId="5A293361">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p>
    <w:p w14:paraId="424B0060">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bCs w:val="0"/>
          <w:color w:val="auto"/>
          <w:sz w:val="48"/>
          <w:szCs w:val="48"/>
        </w:rPr>
      </w:pPr>
      <w:r>
        <w:rPr>
          <w:rFonts w:hint="eastAsia" w:ascii="华文中宋" w:hAnsi="华文中宋" w:eastAsia="华文中宋" w:cs="华文中宋"/>
          <w:b/>
          <w:bCs w:val="0"/>
          <w:color w:val="auto"/>
          <w:sz w:val="48"/>
          <w:szCs w:val="48"/>
        </w:rPr>
        <w:t>拍卖规则</w:t>
      </w:r>
    </w:p>
    <w:p w14:paraId="3158847F">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一、根据《中华人民共和国拍卖法》及其它有关法律、法规规定，参照国际惯例，制定本规则。凡参加本次拍卖会的竞买人应当仔细阅读和遵守本规则，并对自己按照本规则参与拍卖活动的行为负责。</w:t>
      </w:r>
    </w:p>
    <w:p w14:paraId="134B5DA1">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二、拍卖人是本次拍卖会的唯一合法执行机构，在组织拍卖活动时，遵循“公开、公平、公正、诚实信用”的原则。</w:t>
      </w:r>
    </w:p>
    <w:p w14:paraId="5B0E8708">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三、竞买人参加拍卖活动前，应认真阅读有关资料，充分了解拍卖标的的详情。拍卖人虽对标的做了最详尽的调查，但仍不承诺对标的瑕疵承担保证责任。</w:t>
      </w:r>
    </w:p>
    <w:p w14:paraId="69B61F66">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367DF7A7">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五、竞卖人参与竞买，应按规则办理登记手续。现场竞买时，必须先举牌，并以不低于拍卖师宣布的加价幅度竞价，否则竞价无效。</w:t>
      </w:r>
    </w:p>
    <w:p w14:paraId="6F914715">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20E71E92">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现场首先由拍卖师报出起拍价，当场上的应价经拍卖师宣布“第一次”，“第二次”，“最后一次”后无更高出价时，拍卖师将落槌确认成交，该竞买人即成为买受人，买受人应当场和拍卖人签署成拍卖成交确认书。</w:t>
      </w:r>
    </w:p>
    <w:p w14:paraId="27D1B9D0">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5AD61EFA">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2587B447">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十、本次拍卖采取增价拍卖的方式，增价幅度由拍卖师当场宣布。</w:t>
      </w:r>
    </w:p>
    <w:p w14:paraId="46FEE746">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十一、本公司根据法律规定有权在拍卖前中止拍卖，有权在拍卖出现争议或纠纷时撤回拍卖标的并在争议或纠纷情形消失征得委托人同意后将拍卖标的再行拍卖。</w:t>
      </w:r>
    </w:p>
    <w:p w14:paraId="2CA0DD56">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十二、竞买人必须遵守拍卖会场秩序，不得阻挠其他竞买人竞价，不得阻挠拍卖师的拍卖主持，不得恶意串通，更不能有操纵、垄断等违法行为。一经发现，将取消其竞买资格并依法追究其法律责任。</w:t>
      </w:r>
    </w:p>
    <w:p w14:paraId="4576595B">
      <w:pPr>
        <w:keepNext w:val="0"/>
        <w:keepLines w:val="0"/>
        <w:pageBreakBefore w:val="0"/>
        <w:kinsoku/>
        <w:wordWrap/>
        <w:overflowPunct/>
        <w:topLinePunct w:val="0"/>
        <w:autoSpaceDE w:val="0"/>
        <w:autoSpaceDN w:val="0"/>
        <w:bidi w:val="0"/>
        <w:adjustRightInd w:val="0"/>
        <w:spacing w:line="560" w:lineRule="atLeast"/>
        <w:ind w:firstLine="4004" w:firstLineChars="1300"/>
        <w:jc w:val="right"/>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eastAsia="zh-CN"/>
        </w:rPr>
        <w:t>湖北励勤拍卖有限公司</w:t>
      </w:r>
    </w:p>
    <w:p w14:paraId="41345AEE">
      <w:pPr>
        <w:keepNext w:val="0"/>
        <w:keepLines w:val="0"/>
        <w:pageBreakBefore w:val="0"/>
        <w:kinsoku/>
        <w:wordWrap/>
        <w:overflowPunct/>
        <w:topLinePunct w:val="0"/>
        <w:bidi w:val="0"/>
        <w:spacing w:line="560" w:lineRule="atLeast"/>
        <w:jc w:val="right"/>
        <w:textAlignment w:val="auto"/>
        <w:rPr>
          <w:rFonts w:hint="eastAsia" w:ascii="仿宋" w:hAnsi="仿宋" w:eastAsia="仿宋" w:cs="仿宋"/>
          <w:b/>
          <w:color w:val="auto"/>
          <w:sz w:val="32"/>
          <w:szCs w:val="32"/>
          <w:lang w:eastAsia="zh-CN"/>
        </w:rPr>
      </w:pPr>
      <w:r>
        <w:rPr>
          <w:rFonts w:hint="eastAsia" w:ascii="仿宋" w:hAnsi="仿宋" w:eastAsia="仿宋" w:cs="仿宋"/>
          <w:color w:val="auto"/>
          <w:spacing w:val="-6"/>
          <w:kern w:val="0"/>
          <w:sz w:val="32"/>
          <w:szCs w:val="32"/>
        </w:rPr>
        <w:t xml:space="preserve">                            </w:t>
      </w:r>
      <w:r>
        <w:rPr>
          <w:rFonts w:hint="eastAsia" w:ascii="仿宋" w:hAnsi="仿宋" w:eastAsia="仿宋" w:cs="仿宋"/>
          <w:color w:val="auto"/>
          <w:spacing w:val="-6"/>
          <w:kern w:val="0"/>
          <w:sz w:val="32"/>
          <w:szCs w:val="32"/>
          <w:lang w:eastAsia="zh-CN"/>
        </w:rPr>
        <w:t xml:space="preserve"> 2025年9月19日</w:t>
      </w:r>
    </w:p>
    <w:p w14:paraId="281EBEFD">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bCs w:val="0"/>
          <w:color w:val="auto"/>
          <w:sz w:val="48"/>
          <w:szCs w:val="48"/>
        </w:rPr>
      </w:pPr>
      <w:r>
        <w:rPr>
          <w:rFonts w:hint="eastAsia" w:ascii="华文中宋" w:hAnsi="华文中宋" w:eastAsia="华文中宋" w:cs="华文中宋"/>
          <w:b/>
          <w:bCs w:val="0"/>
          <w:color w:val="auto"/>
          <w:sz w:val="48"/>
          <w:szCs w:val="48"/>
        </w:rPr>
        <w:t>竞买申请书</w:t>
      </w:r>
    </w:p>
    <w:p w14:paraId="6F418D97">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湖北励勤拍卖有限公司</w:t>
      </w:r>
      <w:r>
        <w:rPr>
          <w:rFonts w:hint="eastAsia" w:ascii="仿宋" w:hAnsi="仿宋" w:eastAsia="仿宋" w:cs="仿宋"/>
          <w:color w:val="auto"/>
          <w:sz w:val="32"/>
          <w:szCs w:val="32"/>
        </w:rPr>
        <w:t>：</w:t>
      </w:r>
    </w:p>
    <w:p w14:paraId="6E0EBAFD">
      <w:pPr>
        <w:keepNext w:val="0"/>
        <w:keepLines w:val="0"/>
        <w:pageBreakBefore w:val="0"/>
        <w:kinsoku/>
        <w:wordWrap/>
        <w:overflowPunct/>
        <w:topLinePunct w:val="0"/>
        <w:bidi w:val="0"/>
        <w:spacing w:line="560" w:lineRule="atLeas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经认真阅读大冶市</w:t>
      </w:r>
      <w:r>
        <w:rPr>
          <w:rFonts w:hint="eastAsia" w:ascii="仿宋" w:hAnsi="仿宋" w:eastAsia="仿宋" w:cs="仿宋"/>
          <w:color w:val="auto"/>
          <w:sz w:val="32"/>
          <w:szCs w:val="32"/>
          <w:lang w:val="en-US" w:eastAsia="zh-CN"/>
        </w:rPr>
        <w:t>8处尾矿库</w:t>
      </w:r>
      <w:r>
        <w:rPr>
          <w:rFonts w:hint="eastAsia" w:ascii="仿宋" w:hAnsi="仿宋" w:eastAsia="仿宋" w:cs="仿宋"/>
          <w:color w:val="auto"/>
          <w:sz w:val="32"/>
          <w:szCs w:val="32"/>
          <w:lang w:eastAsia="zh-CN"/>
        </w:rPr>
        <w:t>固废综合利用处置权</w:t>
      </w:r>
      <w:r>
        <w:rPr>
          <w:rFonts w:hint="eastAsia" w:ascii="仿宋" w:hAnsi="仿宋" w:eastAsia="仿宋" w:cs="仿宋"/>
          <w:color w:val="auto"/>
          <w:sz w:val="32"/>
          <w:szCs w:val="32"/>
        </w:rPr>
        <w:t>拍卖文件，并已实地踏勘过现场，充分了解本次拍卖标的状况和瑕疵；对拍卖标的可能存在的风险有充分的认识，对该标的一切现状及瑕疵知晓和认可。不因成交后可能产生的任何经济或民事纠纷而向拍卖人、大冶市自然资源和规划局和大冶市公共资源交易中心进行追责和索赔。我方完全理解并愿意遵守本次拍卖文件中的规定和要求，接受拍卖标的</w:t>
      </w:r>
      <w:r>
        <w:rPr>
          <w:rFonts w:hint="eastAsia" w:ascii="仿宋" w:hAnsi="仿宋" w:eastAsia="仿宋" w:cs="仿宋"/>
          <w:color w:val="auto"/>
          <w:sz w:val="32"/>
          <w:szCs w:val="32"/>
          <w:lang w:val="en-US" w:eastAsia="zh-CN"/>
        </w:rPr>
        <w:t>拍卖文件</w:t>
      </w:r>
      <w:r>
        <w:rPr>
          <w:rFonts w:hint="eastAsia" w:ascii="仿宋" w:hAnsi="仿宋" w:eastAsia="仿宋" w:cs="仿宋"/>
          <w:color w:val="auto"/>
          <w:sz w:val="32"/>
          <w:szCs w:val="32"/>
        </w:rPr>
        <w:t xml:space="preserve">全部内容无异议，对拍卖标的的所有瑕疵和潜在处置风险完全接受，均无异议。 </w:t>
      </w:r>
    </w:p>
    <w:p w14:paraId="65030ED8">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我方现正式申请参加你公司于</w:t>
      </w:r>
      <w:r>
        <w:rPr>
          <w:rFonts w:hint="eastAsia" w:ascii="仿宋" w:hAnsi="仿宋" w:eastAsia="仿宋" w:cs="仿宋"/>
          <w:color w:val="auto"/>
          <w:spacing w:val="-6"/>
          <w:kern w:val="0"/>
          <w:sz w:val="32"/>
          <w:szCs w:val="32"/>
          <w:lang w:eastAsia="zh-CN"/>
        </w:rPr>
        <w:t>2025年9月26日15时00分</w:t>
      </w:r>
      <w:r>
        <w:rPr>
          <w:rFonts w:hint="eastAsia" w:ascii="仿宋" w:hAnsi="仿宋" w:eastAsia="仿宋" w:cs="仿宋"/>
          <w:color w:val="auto"/>
          <w:sz w:val="32"/>
          <w:szCs w:val="32"/>
        </w:rPr>
        <w:t>在大冶市公共资源交易中心317室举行拍卖活动。</w:t>
      </w:r>
    </w:p>
    <w:p w14:paraId="5DC277EF">
      <w:pPr>
        <w:keepNext w:val="0"/>
        <w:keepLines w:val="0"/>
        <w:pageBreakBefore w:val="0"/>
        <w:kinsoku/>
        <w:wordWrap/>
        <w:overflowPunct/>
        <w:topLinePunct w:val="0"/>
        <w:bidi w:val="0"/>
        <w:spacing w:line="560" w:lineRule="atLeast"/>
        <w:ind w:firstLine="592" w:firstLineChars="200"/>
        <w:jc w:val="both"/>
        <w:textAlignment w:val="auto"/>
        <w:rPr>
          <w:rFonts w:hint="eastAsia" w:ascii="仿宋" w:hAnsi="仿宋" w:eastAsia="仿宋" w:cs="仿宋"/>
          <w:color w:val="auto"/>
          <w:spacing w:val="-12"/>
          <w:sz w:val="32"/>
          <w:szCs w:val="32"/>
        </w:rPr>
      </w:pPr>
      <w:r>
        <w:rPr>
          <w:rFonts w:hint="eastAsia" w:ascii="仿宋" w:hAnsi="仿宋" w:eastAsia="仿宋" w:cs="仿宋"/>
          <w:color w:val="auto"/>
          <w:spacing w:val="-12"/>
          <w:sz w:val="32"/>
          <w:szCs w:val="32"/>
        </w:rPr>
        <w:t>我方愿意按</w:t>
      </w:r>
      <w:r>
        <w:rPr>
          <w:rFonts w:hint="eastAsia" w:ascii="仿宋" w:hAnsi="仿宋" w:eastAsia="仿宋" w:cs="仿宋"/>
          <w:color w:val="auto"/>
          <w:sz w:val="32"/>
          <w:szCs w:val="32"/>
        </w:rPr>
        <w:t>拍卖</w:t>
      </w:r>
      <w:r>
        <w:rPr>
          <w:rFonts w:hint="eastAsia" w:ascii="仿宋" w:hAnsi="仿宋" w:eastAsia="仿宋" w:cs="仿宋"/>
          <w:color w:val="auto"/>
          <w:spacing w:val="-12"/>
          <w:sz w:val="32"/>
          <w:szCs w:val="32"/>
        </w:rPr>
        <w:t>文件规定，交纳</w:t>
      </w:r>
      <w:r>
        <w:rPr>
          <w:rFonts w:hint="eastAsia" w:ascii="仿宋" w:hAnsi="仿宋" w:eastAsia="仿宋" w:cs="仿宋"/>
          <w:b/>
          <w:bCs/>
          <w:color w:val="auto"/>
          <w:spacing w:val="-12"/>
          <w:sz w:val="32"/>
          <w:szCs w:val="32"/>
        </w:rPr>
        <w:t>竞买保证金</w:t>
      </w:r>
      <w:r>
        <w:rPr>
          <w:rFonts w:hint="eastAsia" w:ascii="仿宋" w:hAnsi="仿宋" w:eastAsia="仿宋" w:cs="仿宋"/>
          <w:b/>
          <w:bCs/>
          <w:color w:val="auto"/>
          <w:spacing w:val="-12"/>
          <w:sz w:val="32"/>
          <w:szCs w:val="32"/>
          <w:u w:val="none"/>
          <w:lang w:val="en-US" w:eastAsia="zh-CN"/>
        </w:rPr>
        <w:t>4万元</w:t>
      </w:r>
      <w:r>
        <w:rPr>
          <w:rFonts w:hint="eastAsia" w:ascii="仿宋" w:hAnsi="仿宋" w:eastAsia="仿宋" w:cs="仿宋"/>
          <w:color w:val="auto"/>
          <w:spacing w:val="-12"/>
          <w:sz w:val="32"/>
          <w:szCs w:val="32"/>
        </w:rPr>
        <w:t>。</w:t>
      </w:r>
    </w:p>
    <w:p w14:paraId="66F5CE18">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若能竞得该标的，我方保证按照本次拍卖文件的规定和要求履行全部义务。</w:t>
      </w:r>
    </w:p>
    <w:p w14:paraId="7E46D3DB">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若我方在本次拍卖活动中，出现不能按期付款或有其他违约行为，我方愿意承担全部法律责任，并赔偿由此产生的损失。</w:t>
      </w:r>
    </w:p>
    <w:p w14:paraId="3EF442EB">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特此申请和承诺。</w:t>
      </w:r>
    </w:p>
    <w:p w14:paraId="73097F57">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申请人：（公章）</w:t>
      </w:r>
    </w:p>
    <w:p w14:paraId="6354EAD9">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法定代表人或代理人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514F632">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    话：</w:t>
      </w:r>
    </w:p>
    <w:p w14:paraId="657D1826">
      <w:pPr>
        <w:keepNext w:val="0"/>
        <w:keepLines w:val="0"/>
        <w:pageBreakBefore w:val="0"/>
        <w:kinsoku/>
        <w:wordWrap/>
        <w:overflowPunct/>
        <w:topLinePunct w:val="0"/>
        <w:bidi w:val="0"/>
        <w:spacing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申请日期：   年   月   日</w:t>
      </w:r>
    </w:p>
    <w:p w14:paraId="04AAF793">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bCs w:val="0"/>
          <w:color w:val="auto"/>
          <w:sz w:val="48"/>
          <w:szCs w:val="48"/>
          <w:lang w:eastAsia="zh-CN"/>
        </w:rPr>
      </w:pPr>
      <w:r>
        <w:rPr>
          <w:rFonts w:hint="eastAsia" w:ascii="华文中宋" w:hAnsi="华文中宋" w:eastAsia="华文中宋" w:cs="华文中宋"/>
          <w:b/>
          <w:bCs w:val="0"/>
          <w:color w:val="auto"/>
          <w:sz w:val="48"/>
          <w:szCs w:val="48"/>
        </w:rPr>
        <w:t>竞买资格确认书</w:t>
      </w:r>
      <w:r>
        <w:rPr>
          <w:rFonts w:hint="eastAsia" w:ascii="华文中宋" w:hAnsi="华文中宋" w:eastAsia="华文中宋" w:cs="华文中宋"/>
          <w:b/>
          <w:bCs w:val="0"/>
          <w:color w:val="auto"/>
          <w:sz w:val="48"/>
          <w:szCs w:val="48"/>
          <w:lang w:eastAsia="zh-CN"/>
        </w:rPr>
        <w:t>（</w:t>
      </w:r>
      <w:r>
        <w:rPr>
          <w:rFonts w:hint="eastAsia" w:ascii="华文中宋" w:hAnsi="华文中宋" w:eastAsia="华文中宋" w:cs="华文中宋"/>
          <w:b/>
          <w:bCs w:val="0"/>
          <w:color w:val="auto"/>
          <w:sz w:val="48"/>
          <w:szCs w:val="48"/>
          <w:lang w:val="en-US" w:eastAsia="zh-CN"/>
        </w:rPr>
        <w:t>样本</w:t>
      </w:r>
      <w:r>
        <w:rPr>
          <w:rFonts w:hint="eastAsia" w:ascii="华文中宋" w:hAnsi="华文中宋" w:eastAsia="华文中宋" w:cs="华文中宋"/>
          <w:b/>
          <w:bCs w:val="0"/>
          <w:color w:val="auto"/>
          <w:sz w:val="48"/>
          <w:szCs w:val="48"/>
          <w:lang w:eastAsia="zh-CN"/>
        </w:rPr>
        <w:t>）</w:t>
      </w:r>
    </w:p>
    <w:p w14:paraId="30C87D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color w:val="auto"/>
          <w:sz w:val="18"/>
          <w:szCs w:val="18"/>
        </w:rPr>
      </w:pPr>
    </w:p>
    <w:p w14:paraId="11C12AB1">
      <w:pPr>
        <w:keepNext w:val="0"/>
        <w:keepLines w:val="0"/>
        <w:pageBreakBefore w:val="0"/>
        <w:kinsoku/>
        <w:wordWrap/>
        <w:overflowPunct/>
        <w:topLinePunct w:val="0"/>
        <w:bidi w:val="0"/>
        <w:spacing w:line="560" w:lineRule="atLeast"/>
        <w:textAlignment w:val="auto"/>
        <w:rPr>
          <w:rFonts w:hint="eastAsia" w:ascii="仿宋" w:hAnsi="仿宋" w:eastAsia="仿宋" w:cs="仿宋"/>
          <w:b/>
          <w:color w:val="auto"/>
          <w:sz w:val="32"/>
          <w:szCs w:val="32"/>
          <w:u w:val="single"/>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u w:val="single"/>
        </w:rPr>
        <w:t xml:space="preserve">                                  ：（手写无效）</w:t>
      </w:r>
    </w:p>
    <w:p w14:paraId="6F103537">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你方提交的对</w:t>
      </w:r>
      <w:r>
        <w:rPr>
          <w:rFonts w:hint="eastAsia" w:ascii="仿宋" w:hAnsi="仿宋" w:eastAsia="仿宋" w:cs="仿宋"/>
          <w:color w:val="auto"/>
          <w:sz w:val="32"/>
          <w:szCs w:val="32"/>
          <w:lang w:val="en-US" w:eastAsia="zh-CN"/>
        </w:rPr>
        <w:t>参加整体拍卖</w:t>
      </w:r>
      <w:r>
        <w:rPr>
          <w:rFonts w:hint="eastAsia" w:ascii="仿宋" w:hAnsi="仿宋" w:eastAsia="仿宋" w:cs="仿宋"/>
          <w:color w:val="auto"/>
          <w:sz w:val="32"/>
          <w:szCs w:val="32"/>
        </w:rPr>
        <w:t>大冶市</w:t>
      </w:r>
      <w:r>
        <w:rPr>
          <w:rFonts w:hint="eastAsia" w:ascii="仿宋" w:hAnsi="仿宋" w:eastAsia="仿宋" w:cs="仿宋"/>
          <w:color w:val="auto"/>
          <w:sz w:val="32"/>
          <w:szCs w:val="32"/>
          <w:lang w:val="en-US" w:eastAsia="zh-CN"/>
        </w:rPr>
        <w:t>8处尾矿库</w:t>
      </w:r>
      <w:r>
        <w:rPr>
          <w:rFonts w:hint="eastAsia" w:ascii="仿宋" w:hAnsi="仿宋" w:eastAsia="仿宋" w:cs="仿宋"/>
          <w:color w:val="auto"/>
          <w:sz w:val="32"/>
          <w:szCs w:val="32"/>
        </w:rPr>
        <w:t>固废综合利用处置</w:t>
      </w:r>
      <w:r>
        <w:rPr>
          <w:rFonts w:hint="eastAsia" w:ascii="仿宋" w:hAnsi="仿宋" w:eastAsia="仿宋" w:cs="仿宋"/>
          <w:color w:val="auto"/>
          <w:sz w:val="32"/>
          <w:szCs w:val="32"/>
          <w:lang w:val="en-US" w:eastAsia="zh-CN"/>
        </w:rPr>
        <w:t>权的拍卖活动，</w:t>
      </w:r>
      <w:r>
        <w:rPr>
          <w:rFonts w:hint="eastAsia" w:ascii="仿宋" w:hAnsi="仿宋" w:eastAsia="仿宋" w:cs="仿宋"/>
          <w:color w:val="auto"/>
          <w:sz w:val="32"/>
          <w:szCs w:val="32"/>
        </w:rPr>
        <w:t>竞买申请书及相关文件资料收悉。经审查，你方已按规定交纳了竞买保证金，所提交文件资料符合本次拍卖文件的规定和要求，现确认你方具备参加本次拍卖竞买资格。</w:t>
      </w:r>
    </w:p>
    <w:p w14:paraId="35270858">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请持此《竞买资格确认书》参加</w:t>
      </w:r>
      <w:r>
        <w:rPr>
          <w:rFonts w:hint="eastAsia" w:ascii="仿宋" w:hAnsi="仿宋" w:eastAsia="仿宋" w:cs="仿宋"/>
          <w:color w:val="auto"/>
          <w:sz w:val="32"/>
          <w:szCs w:val="32"/>
          <w:lang w:eastAsia="zh-CN"/>
        </w:rPr>
        <w:t>湖北励勤拍卖有限公司</w:t>
      </w:r>
      <w:r>
        <w:rPr>
          <w:rFonts w:hint="eastAsia" w:ascii="仿宋" w:hAnsi="仿宋" w:eastAsia="仿宋" w:cs="仿宋"/>
          <w:color w:val="auto"/>
          <w:sz w:val="32"/>
          <w:szCs w:val="32"/>
        </w:rPr>
        <w:t>于</w:t>
      </w:r>
      <w:r>
        <w:rPr>
          <w:rFonts w:hint="eastAsia" w:ascii="仿宋" w:hAnsi="仿宋" w:eastAsia="仿宋" w:cs="仿宋"/>
          <w:color w:val="auto"/>
          <w:sz w:val="32"/>
          <w:szCs w:val="32"/>
          <w:lang w:eastAsia="zh-CN"/>
        </w:rPr>
        <w:t>2025年9月26日15时00分</w:t>
      </w:r>
      <w:r>
        <w:rPr>
          <w:rFonts w:hint="eastAsia" w:ascii="仿宋" w:hAnsi="仿宋" w:eastAsia="仿宋" w:cs="仿宋"/>
          <w:color w:val="auto"/>
          <w:sz w:val="32"/>
          <w:szCs w:val="32"/>
        </w:rPr>
        <w:t>在大冶市公共资源交易中心317室举行的拍卖活动。</w:t>
      </w:r>
    </w:p>
    <w:p w14:paraId="6C980D4C">
      <w:pPr>
        <w:keepNext w:val="0"/>
        <w:keepLines w:val="0"/>
        <w:pageBreakBefore w:val="0"/>
        <w:kinsoku/>
        <w:wordWrap/>
        <w:overflowPunct/>
        <w:topLinePunct w:val="0"/>
        <w:bidi w:val="0"/>
        <w:spacing w:line="560" w:lineRule="atLeast"/>
        <w:ind w:right="420"/>
        <w:jc w:val="righ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湖北励勤拍卖有限公司</w:t>
      </w:r>
    </w:p>
    <w:p w14:paraId="2FAC354F">
      <w:pPr>
        <w:keepNext w:val="0"/>
        <w:keepLines w:val="0"/>
        <w:pageBreakBefore w:val="0"/>
        <w:kinsoku/>
        <w:wordWrap/>
        <w:overflowPunct/>
        <w:topLinePunct w:val="0"/>
        <w:bidi w:val="0"/>
        <w:spacing w:line="560" w:lineRule="atLeast"/>
        <w:ind w:right="42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w:t>
      </w:r>
    </w:p>
    <w:p w14:paraId="77C9B565">
      <w:pPr>
        <w:keepNext w:val="0"/>
        <w:keepLines w:val="0"/>
        <w:pageBreakBefore w:val="0"/>
        <w:kinsoku/>
        <w:wordWrap/>
        <w:overflowPunct/>
        <w:topLinePunct w:val="0"/>
        <w:bidi w:val="0"/>
        <w:spacing w:line="560" w:lineRule="atLeast"/>
        <w:ind w:right="840" w:firstLine="640" w:firstLineChars="200"/>
        <w:jc w:val="center"/>
        <w:textAlignment w:val="auto"/>
        <w:rPr>
          <w:rFonts w:hint="eastAsia" w:ascii="仿宋" w:hAnsi="仿宋" w:eastAsia="仿宋" w:cs="仿宋"/>
          <w:color w:val="auto"/>
          <w:sz w:val="32"/>
          <w:szCs w:val="32"/>
        </w:rPr>
      </w:pPr>
    </w:p>
    <w:p w14:paraId="2195D3D5">
      <w:pPr>
        <w:keepNext w:val="0"/>
        <w:keepLines w:val="0"/>
        <w:pageBreakBefore w:val="0"/>
        <w:kinsoku/>
        <w:wordWrap/>
        <w:overflowPunct/>
        <w:topLinePunct w:val="0"/>
        <w:bidi w:val="0"/>
        <w:spacing w:before="312" w:beforeLines="100" w:line="240" w:lineRule="auto"/>
        <w:jc w:val="center"/>
        <w:textAlignment w:val="auto"/>
        <w:rPr>
          <w:rFonts w:hint="default" w:ascii="仿宋" w:hAnsi="仿宋" w:eastAsia="仿宋" w:cs="仿宋"/>
          <w:b/>
          <w:color w:val="auto"/>
          <w:sz w:val="48"/>
          <w:szCs w:val="48"/>
          <w:lang w:val="en-US" w:eastAsia="zh-CN"/>
        </w:rPr>
      </w:pPr>
      <w:r>
        <w:rPr>
          <w:rFonts w:hint="eastAsia" w:ascii="仿宋" w:hAnsi="仿宋" w:eastAsia="仿宋" w:cs="仿宋"/>
          <w:b/>
          <w:color w:val="auto"/>
          <w:sz w:val="48"/>
          <w:szCs w:val="48"/>
          <w:lang w:val="en-US" w:eastAsia="zh-CN"/>
        </w:rPr>
        <w:t>竞买人签收表</w:t>
      </w:r>
    </w:p>
    <w:p w14:paraId="6E9BED38">
      <w:pPr>
        <w:keepNext w:val="0"/>
        <w:keepLines w:val="0"/>
        <w:pageBreakBefore w:val="0"/>
        <w:widowControl w:val="0"/>
        <w:kinsoku/>
        <w:wordWrap/>
        <w:overflowPunct/>
        <w:topLinePunct w:val="0"/>
        <w:autoSpaceDE/>
        <w:autoSpaceDN/>
        <w:bidi w:val="0"/>
        <w:adjustRightInd/>
        <w:snapToGrid/>
        <w:spacing w:before="312" w:beforeLines="100" w:line="240" w:lineRule="exact"/>
        <w:jc w:val="center"/>
        <w:textAlignment w:val="auto"/>
        <w:rPr>
          <w:rFonts w:hint="eastAsia" w:ascii="仿宋" w:hAnsi="仿宋" w:eastAsia="仿宋" w:cs="仿宋"/>
          <w:b/>
          <w:color w:val="auto"/>
          <w:sz w:val="18"/>
          <w:szCs w:val="18"/>
        </w:rPr>
      </w:pPr>
    </w:p>
    <w:tbl>
      <w:tblPr>
        <w:tblStyle w:val="9"/>
        <w:tblW w:w="906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Layout w:type="fixed"/>
        <w:tblCellMar>
          <w:top w:w="0" w:type="dxa"/>
          <w:left w:w="108" w:type="dxa"/>
          <w:bottom w:w="0" w:type="dxa"/>
          <w:right w:w="108" w:type="dxa"/>
        </w:tblCellMar>
      </w:tblPr>
      <w:tblGrid>
        <w:gridCol w:w="2475"/>
        <w:gridCol w:w="2630"/>
        <w:gridCol w:w="1973"/>
        <w:gridCol w:w="1988"/>
      </w:tblGrid>
      <w:tr w14:paraId="4430BA88">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055" w:hRule="atLeast"/>
          <w:jc w:val="center"/>
        </w:trPr>
        <w:tc>
          <w:tcPr>
            <w:tcW w:w="2475" w:type="dxa"/>
            <w:vAlign w:val="center"/>
          </w:tcPr>
          <w:p w14:paraId="158467B0">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标的名称</w:t>
            </w:r>
          </w:p>
        </w:tc>
        <w:tc>
          <w:tcPr>
            <w:tcW w:w="2630" w:type="dxa"/>
            <w:vAlign w:val="center"/>
          </w:tcPr>
          <w:p w14:paraId="3A21A88E">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竞买人盖章处</w:t>
            </w:r>
          </w:p>
        </w:tc>
        <w:tc>
          <w:tcPr>
            <w:tcW w:w="1973" w:type="dxa"/>
            <w:vAlign w:val="center"/>
          </w:tcPr>
          <w:p w14:paraId="4A58E2E1">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领取时间</w:t>
            </w:r>
          </w:p>
        </w:tc>
        <w:tc>
          <w:tcPr>
            <w:tcW w:w="1988" w:type="dxa"/>
            <w:vAlign w:val="center"/>
          </w:tcPr>
          <w:p w14:paraId="5286327B">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领取人</w:t>
            </w:r>
          </w:p>
        </w:tc>
      </w:tr>
      <w:tr w14:paraId="317194DE">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967" w:hRule="atLeast"/>
          <w:jc w:val="center"/>
        </w:trPr>
        <w:tc>
          <w:tcPr>
            <w:tcW w:w="2475" w:type="dxa"/>
          </w:tcPr>
          <w:p w14:paraId="72330545">
            <w:pPr>
              <w:keepNext w:val="0"/>
              <w:keepLines w:val="0"/>
              <w:pageBreakBefore w:val="0"/>
              <w:kinsoku/>
              <w:wordWrap/>
              <w:overflowPunct/>
              <w:topLinePunct w:val="0"/>
              <w:bidi w:val="0"/>
              <w:spacing w:before="312" w:beforeLines="100" w:after="312" w:afterLines="100" w:line="560" w:lineRule="atLeast"/>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大冶市</w:t>
            </w:r>
            <w:r>
              <w:rPr>
                <w:rFonts w:hint="eastAsia" w:ascii="仿宋" w:hAnsi="仿宋" w:eastAsia="仿宋" w:cs="仿宋"/>
                <w:color w:val="auto"/>
                <w:sz w:val="32"/>
                <w:szCs w:val="32"/>
                <w:lang w:val="en-US" w:eastAsia="zh-CN"/>
              </w:rPr>
              <w:t>8处尾矿库</w:t>
            </w:r>
            <w:r>
              <w:rPr>
                <w:rFonts w:hint="eastAsia" w:ascii="仿宋" w:hAnsi="仿宋" w:eastAsia="仿宋" w:cs="仿宋"/>
                <w:color w:val="auto"/>
                <w:sz w:val="32"/>
                <w:szCs w:val="32"/>
              </w:rPr>
              <w:t>固废综合利用处置</w:t>
            </w:r>
            <w:r>
              <w:rPr>
                <w:rFonts w:hint="eastAsia" w:ascii="仿宋" w:hAnsi="仿宋" w:eastAsia="仿宋" w:cs="仿宋"/>
                <w:color w:val="auto"/>
                <w:sz w:val="32"/>
                <w:szCs w:val="32"/>
                <w:lang w:val="en-US" w:eastAsia="zh-CN"/>
              </w:rPr>
              <w:t>权</w:t>
            </w:r>
          </w:p>
        </w:tc>
        <w:tc>
          <w:tcPr>
            <w:tcW w:w="2630" w:type="dxa"/>
          </w:tcPr>
          <w:p w14:paraId="59AB6506">
            <w:pPr>
              <w:keepNext w:val="0"/>
              <w:keepLines w:val="0"/>
              <w:pageBreakBefore w:val="0"/>
              <w:kinsoku/>
              <w:wordWrap/>
              <w:overflowPunct/>
              <w:topLinePunct w:val="0"/>
              <w:bidi w:val="0"/>
              <w:spacing w:before="312" w:beforeLines="100" w:after="312" w:afterLines="100" w:line="560" w:lineRule="atLeast"/>
              <w:textAlignment w:val="auto"/>
              <w:rPr>
                <w:rFonts w:hint="eastAsia" w:ascii="仿宋" w:hAnsi="仿宋" w:eastAsia="仿宋" w:cs="仿宋"/>
                <w:b/>
                <w:color w:val="auto"/>
                <w:sz w:val="32"/>
                <w:szCs w:val="32"/>
              </w:rPr>
            </w:pPr>
          </w:p>
        </w:tc>
        <w:tc>
          <w:tcPr>
            <w:tcW w:w="1973" w:type="dxa"/>
          </w:tcPr>
          <w:p w14:paraId="5188C357">
            <w:pPr>
              <w:keepNext w:val="0"/>
              <w:keepLines w:val="0"/>
              <w:pageBreakBefore w:val="0"/>
              <w:kinsoku/>
              <w:wordWrap/>
              <w:overflowPunct/>
              <w:topLinePunct w:val="0"/>
              <w:bidi w:val="0"/>
              <w:spacing w:before="312" w:beforeLines="100" w:after="312" w:afterLines="100" w:line="560" w:lineRule="atLeast"/>
              <w:textAlignment w:val="auto"/>
              <w:rPr>
                <w:rFonts w:hint="eastAsia" w:ascii="仿宋" w:hAnsi="仿宋" w:eastAsia="仿宋" w:cs="仿宋"/>
                <w:b/>
                <w:color w:val="auto"/>
                <w:sz w:val="32"/>
                <w:szCs w:val="32"/>
              </w:rPr>
            </w:pPr>
          </w:p>
        </w:tc>
        <w:tc>
          <w:tcPr>
            <w:tcW w:w="1988" w:type="dxa"/>
          </w:tcPr>
          <w:p w14:paraId="19C81965">
            <w:pPr>
              <w:keepNext w:val="0"/>
              <w:keepLines w:val="0"/>
              <w:pageBreakBefore w:val="0"/>
              <w:kinsoku/>
              <w:wordWrap/>
              <w:overflowPunct/>
              <w:topLinePunct w:val="0"/>
              <w:bidi w:val="0"/>
              <w:spacing w:before="312" w:beforeLines="100" w:after="312" w:afterLines="100" w:line="560" w:lineRule="atLeast"/>
              <w:textAlignment w:val="auto"/>
              <w:rPr>
                <w:rFonts w:hint="eastAsia" w:ascii="仿宋" w:hAnsi="仿宋" w:eastAsia="仿宋" w:cs="仿宋"/>
                <w:b/>
                <w:color w:val="auto"/>
                <w:sz w:val="32"/>
                <w:szCs w:val="32"/>
              </w:rPr>
            </w:pPr>
          </w:p>
        </w:tc>
      </w:tr>
    </w:tbl>
    <w:p w14:paraId="66DBC3C5">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lang w:eastAsia="zh-CN"/>
        </w:rPr>
      </w:pPr>
      <w:r>
        <w:rPr>
          <w:rFonts w:hint="eastAsia" w:ascii="华文中宋" w:hAnsi="华文中宋" w:eastAsia="华文中宋" w:cs="华文中宋"/>
          <w:b w:val="0"/>
          <w:bCs w:val="0"/>
          <w:color w:val="auto"/>
          <w:kern w:val="0"/>
          <w:sz w:val="48"/>
          <w:szCs w:val="48"/>
        </w:rPr>
        <w:t>法定代表人身份证明</w:t>
      </w:r>
      <w:r>
        <w:rPr>
          <w:rFonts w:hint="eastAsia" w:ascii="华文中宋" w:hAnsi="华文中宋" w:eastAsia="华文中宋" w:cs="华文中宋"/>
          <w:b w:val="0"/>
          <w:bCs w:val="0"/>
          <w:color w:val="auto"/>
          <w:sz w:val="48"/>
          <w:szCs w:val="48"/>
          <w:lang w:eastAsia="zh-CN"/>
        </w:rPr>
        <w:t>（</w:t>
      </w:r>
      <w:r>
        <w:rPr>
          <w:rFonts w:hint="eastAsia" w:ascii="华文中宋" w:hAnsi="华文中宋" w:eastAsia="华文中宋" w:cs="华文中宋"/>
          <w:b w:val="0"/>
          <w:bCs w:val="0"/>
          <w:color w:val="auto"/>
          <w:sz w:val="48"/>
          <w:szCs w:val="48"/>
          <w:lang w:val="en-US" w:eastAsia="zh-CN"/>
        </w:rPr>
        <w:t>样本</w:t>
      </w:r>
      <w:r>
        <w:rPr>
          <w:rFonts w:hint="eastAsia" w:ascii="华文中宋" w:hAnsi="华文中宋" w:eastAsia="华文中宋" w:cs="华文中宋"/>
          <w:b w:val="0"/>
          <w:bCs w:val="0"/>
          <w:color w:val="auto"/>
          <w:sz w:val="48"/>
          <w:szCs w:val="48"/>
          <w:lang w:eastAsia="zh-CN"/>
        </w:rPr>
        <w:t>）</w:t>
      </w:r>
    </w:p>
    <w:p w14:paraId="06C2A8E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textAlignment w:val="auto"/>
        <w:rPr>
          <w:rFonts w:hint="eastAsia" w:ascii="仿宋" w:hAnsi="仿宋" w:eastAsia="仿宋" w:cs="仿宋"/>
          <w:color w:val="auto"/>
          <w:sz w:val="18"/>
          <w:szCs w:val="18"/>
        </w:rPr>
      </w:pPr>
    </w:p>
    <w:p w14:paraId="69F61B92">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u w:val="single"/>
        </w:rPr>
        <w:t xml:space="preserve">                          </w:t>
      </w:r>
    </w:p>
    <w:p w14:paraId="456E1F98">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单位性质：</w:t>
      </w:r>
      <w:r>
        <w:rPr>
          <w:rFonts w:hint="eastAsia" w:ascii="仿宋" w:hAnsi="仿宋" w:eastAsia="仿宋" w:cs="仿宋"/>
          <w:color w:val="auto"/>
          <w:sz w:val="32"/>
          <w:szCs w:val="32"/>
          <w:u w:val="single"/>
        </w:rPr>
        <w:t xml:space="preserve">                          </w:t>
      </w:r>
    </w:p>
    <w:p w14:paraId="5B809209">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 址：</w:t>
      </w:r>
      <w:r>
        <w:rPr>
          <w:rFonts w:hint="eastAsia" w:ascii="仿宋" w:hAnsi="仿宋" w:eastAsia="仿宋" w:cs="仿宋"/>
          <w:color w:val="auto"/>
          <w:sz w:val="32"/>
          <w:szCs w:val="32"/>
          <w:u w:val="single"/>
        </w:rPr>
        <w:t xml:space="preserve">                             </w:t>
      </w:r>
    </w:p>
    <w:p w14:paraId="45482F5E">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成立时间：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58A6D6BE">
      <w:pPr>
        <w:keepNext w:val="0"/>
        <w:keepLines w:val="0"/>
        <w:pageBreakBefore w:val="0"/>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352FA117">
      <w:pPr>
        <w:keepNext w:val="0"/>
        <w:keepLines w:val="0"/>
        <w:pageBreakBefore w:val="0"/>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b/>
          <w:color w:val="auto"/>
          <w:sz w:val="32"/>
          <w:szCs w:val="32"/>
          <w:u w:val="single"/>
        </w:rPr>
        <w:t xml:space="preserve">                   （公司）</w:t>
      </w:r>
      <w:r>
        <w:rPr>
          <w:rFonts w:hint="eastAsia" w:ascii="仿宋" w:hAnsi="仿宋" w:eastAsia="仿宋" w:cs="仿宋"/>
          <w:color w:val="auto"/>
          <w:sz w:val="32"/>
          <w:szCs w:val="32"/>
        </w:rPr>
        <w:t>的法定代表人。</w:t>
      </w:r>
    </w:p>
    <w:p w14:paraId="4D6D1C05">
      <w:pPr>
        <w:keepNext w:val="0"/>
        <w:keepLines w:val="0"/>
        <w:pageBreakBefore w:val="0"/>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F2B48A6">
      <w:pPr>
        <w:keepNext w:val="0"/>
        <w:keepLines w:val="0"/>
        <w:pageBreakBefore w:val="0"/>
        <w:kinsoku/>
        <w:wordWrap/>
        <w:overflowPunct/>
        <w:topLinePunct w:val="0"/>
        <w:bidi w:val="0"/>
        <w:spacing w:line="560" w:lineRule="atLeast"/>
        <w:ind w:firstLine="5461" w:firstLineChars="17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43815</wp:posOffset>
                </wp:positionV>
                <wp:extent cx="6054090" cy="2466340"/>
                <wp:effectExtent l="6350" t="6350" r="16510" b="22860"/>
                <wp:wrapNone/>
                <wp:docPr id="2" name="文本框 3"/>
                <wp:cNvGraphicFramePr/>
                <a:graphic xmlns:a="http://schemas.openxmlformats.org/drawingml/2006/main">
                  <a:graphicData uri="http://schemas.microsoft.com/office/word/2010/wordprocessingShape">
                    <wps:wsp>
                      <wps:cNvSpPr/>
                      <wps:spPr>
                        <a:xfrm>
                          <a:off x="0" y="0"/>
                          <a:ext cx="6054090" cy="2466340"/>
                        </a:xfrm>
                        <a:prstGeom prst="rect">
                          <a:avLst/>
                        </a:prstGeom>
                        <a:solidFill>
                          <a:prstClr val="white"/>
                        </a:solidFill>
                        <a:ln w="12700">
                          <a:solidFill>
                            <a:prstClr val="white"/>
                          </a:solidFill>
                        </a:ln>
                        <a:effectLst/>
                      </wps:spPr>
                      <wps:txbx>
                        <w:txbxContent>
                          <w:p w14:paraId="406244FD">
                            <w:pPr>
                              <w:spacing w:line="360" w:lineRule="auto"/>
                              <w:rPr>
                                <w:rFonts w:hint="eastAsia" w:ascii="仿宋_GB2312" w:hAnsi="宋体" w:eastAsia="宋体"/>
                                <w:szCs w:val="21"/>
                                <w:lang w:eastAsia="zh-CN"/>
                              </w:rPr>
                            </w:pPr>
                            <w:r>
                              <w:rPr>
                                <w:rFonts w:hint="eastAsia" w:ascii="宋体" w:hAnsi="宋体"/>
                                <w:szCs w:val="21"/>
                              </w:rPr>
                              <w:t>法定代表人身份证复印件：</w:t>
                            </w:r>
                            <w:r>
                              <w:rPr>
                                <w:rFonts w:hint="eastAsia" w:ascii="宋体" w:hAnsi="宋体"/>
                                <w:szCs w:val="21"/>
                                <w:lang w:eastAsia="zh-CN"/>
                              </w:rPr>
                              <w:t>（</w:t>
                            </w:r>
                            <w:r>
                              <w:rPr>
                                <w:rFonts w:hint="eastAsia" w:ascii="宋体" w:hAnsi="宋体"/>
                                <w:szCs w:val="21"/>
                                <w:lang w:val="en-US" w:eastAsia="zh-CN"/>
                              </w:rPr>
                              <w:t>或后附</w:t>
                            </w:r>
                            <w:r>
                              <w:rPr>
                                <w:rFonts w:hint="eastAsia" w:ascii="宋体" w:hAnsi="宋体"/>
                                <w:szCs w:val="21"/>
                                <w:lang w:eastAsia="zh-CN"/>
                              </w:rPr>
                              <w:t>）</w:t>
                            </w:r>
                          </w:p>
                        </w:txbxContent>
                      </wps:txbx>
                      <wps:bodyPr rot="0" vert="horz" wrap="square" lIns="91440" tIns="45720" rIns="91440" bIns="45720" anchor="t" anchorCtr="0"/>
                    </wps:wsp>
                  </a:graphicData>
                </a:graphic>
              </wp:anchor>
            </w:drawing>
          </mc:Choice>
          <mc:Fallback>
            <w:pict>
              <v:rect id="文本框 3" o:spid="_x0000_s1026" o:spt="1" style="position:absolute;left:0pt;margin-top:3.45pt;height:194.2pt;width:476.7pt;mso-position-horizontal:center;mso-position-horizontal-relative:margin;z-index:251660288;mso-width-relative:page;mso-height-relative:page;" fillcolor="#FFFFFF" filled="t" stroked="t" coordsize="21600,21600" o:gfxdata="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VbRO1QAAAAYBAAAPAAAAAAAAAAEAIAAAACIAAABkcnMvZG93bnJldi54&#10;bWxQSwECFAAUAAAACACHTuJAXFLWzP0BAAAQBAAADgAAAAAAAAABACAAAAAkAQAAZHJzL2Uyb0Rv&#10;Yy54bWxQSwUGAAAAAAYABgBZAQAAkwUAAAAA&#10;">
                <v:fill on="t" focussize="0,0"/>
                <v:stroke weight="1pt" color="#FFFFFF" joinstyle="round"/>
                <v:imagedata o:title=""/>
                <o:lock v:ext="edit" aspectratio="f"/>
                <v:textbox>
                  <w:txbxContent>
                    <w:p w14:paraId="406244FD">
                      <w:pPr>
                        <w:spacing w:line="360" w:lineRule="auto"/>
                        <w:rPr>
                          <w:rFonts w:hint="eastAsia" w:ascii="仿宋_GB2312" w:hAnsi="宋体" w:eastAsia="宋体"/>
                          <w:szCs w:val="21"/>
                          <w:lang w:eastAsia="zh-CN"/>
                        </w:rPr>
                      </w:pPr>
                      <w:r>
                        <w:rPr>
                          <w:rFonts w:hint="eastAsia" w:ascii="宋体" w:hAnsi="宋体"/>
                          <w:szCs w:val="21"/>
                        </w:rPr>
                        <w:t>法定代表人身份证复印件：</w:t>
                      </w:r>
                      <w:r>
                        <w:rPr>
                          <w:rFonts w:hint="eastAsia" w:ascii="宋体" w:hAnsi="宋体"/>
                          <w:szCs w:val="21"/>
                          <w:lang w:eastAsia="zh-CN"/>
                        </w:rPr>
                        <w:t>（</w:t>
                      </w:r>
                      <w:r>
                        <w:rPr>
                          <w:rFonts w:hint="eastAsia" w:ascii="宋体" w:hAnsi="宋体"/>
                          <w:szCs w:val="21"/>
                          <w:lang w:val="en-US" w:eastAsia="zh-CN"/>
                        </w:rPr>
                        <w:t>或后附</w:t>
                      </w:r>
                      <w:r>
                        <w:rPr>
                          <w:rFonts w:hint="eastAsia" w:ascii="宋体" w:hAnsi="宋体"/>
                          <w:szCs w:val="21"/>
                          <w:lang w:eastAsia="zh-CN"/>
                        </w:rPr>
                        <w:t>）</w:t>
                      </w:r>
                    </w:p>
                  </w:txbxContent>
                </v:textbox>
              </v:rect>
            </w:pict>
          </mc:Fallback>
        </mc:AlternateContent>
      </w:r>
    </w:p>
    <w:p w14:paraId="60A3AB5C">
      <w:pPr>
        <w:keepNext w:val="0"/>
        <w:keepLines w:val="0"/>
        <w:pageBreakBefore w:val="0"/>
        <w:kinsoku/>
        <w:wordWrap/>
        <w:overflowPunct/>
        <w:topLinePunct w:val="0"/>
        <w:bidi w:val="0"/>
        <w:spacing w:line="560" w:lineRule="atLeast"/>
        <w:ind w:firstLine="3694" w:firstLineChars="1150"/>
        <w:textAlignment w:val="auto"/>
        <w:rPr>
          <w:rFonts w:hint="eastAsia" w:ascii="仿宋" w:hAnsi="仿宋" w:eastAsia="仿宋" w:cs="仿宋"/>
          <w:b/>
          <w:color w:val="auto"/>
          <w:sz w:val="32"/>
          <w:szCs w:val="32"/>
        </w:rPr>
      </w:pPr>
    </w:p>
    <w:p w14:paraId="1BB33B77">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3A2AAAB9">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15788C0B">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25DFEF68">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405D7BFF">
      <w:pPr>
        <w:keepNext w:val="0"/>
        <w:keepLines w:val="0"/>
        <w:pageBreakBefore w:val="0"/>
        <w:kinsoku/>
        <w:wordWrap/>
        <w:overflowPunct/>
        <w:topLinePunct w:val="0"/>
        <w:bidi w:val="0"/>
        <w:spacing w:before="100" w:beforeAutospacing="1" w:after="100" w:afterAutospacing="1"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（盖章）</w:t>
      </w:r>
    </w:p>
    <w:p w14:paraId="7C2FB8C9">
      <w:pPr>
        <w:keepNext w:val="0"/>
        <w:keepLines w:val="0"/>
        <w:pageBreakBefore w:val="0"/>
        <w:kinsoku/>
        <w:wordWrap/>
        <w:overflowPunct/>
        <w:topLinePunct w:val="0"/>
        <w:bidi w:val="0"/>
        <w:spacing w:before="100" w:beforeAutospacing="1" w:after="100" w:afterAutospacing="1"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452961F7">
      <w:pPr>
        <w:keepNext w:val="0"/>
        <w:keepLines w:val="0"/>
        <w:pageBreakBefore w:val="0"/>
        <w:widowControl/>
        <w:kinsoku/>
        <w:wordWrap/>
        <w:overflowPunct/>
        <w:topLinePunct w:val="0"/>
        <w:bidi w:val="0"/>
        <w:spacing w:after="100" w:afterAutospacing="1" w:line="560" w:lineRule="atLeas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tbl>
      <w:tblPr>
        <w:tblStyle w:val="9"/>
        <w:tblpPr w:leftFromText="180" w:rightFromText="180" w:vertAnchor="text" w:horzAnchor="page" w:tblpX="1794" w:tblpY="1064"/>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24"/>
        <w:gridCol w:w="2715"/>
        <w:gridCol w:w="1566"/>
        <w:gridCol w:w="2635"/>
      </w:tblGrid>
      <w:tr w14:paraId="5DE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478" w:type="dxa"/>
            <w:gridSpan w:val="3"/>
            <w:tcBorders>
              <w:top w:val="single" w:color="auto" w:sz="18" w:space="0"/>
              <w:left w:val="single" w:color="auto" w:sz="18" w:space="0"/>
            </w:tcBorders>
            <w:vAlign w:val="center"/>
          </w:tcPr>
          <w:p w14:paraId="5FB8B67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委托人</w:t>
            </w:r>
          </w:p>
        </w:tc>
        <w:tc>
          <w:tcPr>
            <w:tcW w:w="4201" w:type="dxa"/>
            <w:gridSpan w:val="2"/>
            <w:tcBorders>
              <w:top w:val="single" w:color="auto" w:sz="18" w:space="0"/>
              <w:right w:val="single" w:color="auto" w:sz="18" w:space="0"/>
            </w:tcBorders>
            <w:vAlign w:val="center"/>
          </w:tcPr>
          <w:p w14:paraId="0C356FD8">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受托</w:t>
            </w:r>
            <w:r>
              <w:rPr>
                <w:rFonts w:hint="eastAsia" w:ascii="仿宋" w:hAnsi="仿宋" w:eastAsia="仿宋" w:cs="仿宋"/>
                <w:bCs/>
                <w:color w:val="auto"/>
                <w:sz w:val="32"/>
                <w:szCs w:val="32"/>
                <w:lang w:val="en-US" w:eastAsia="zh-CN"/>
              </w:rPr>
              <w:t>代理</w:t>
            </w:r>
            <w:r>
              <w:rPr>
                <w:rFonts w:hint="eastAsia" w:ascii="仿宋" w:hAnsi="仿宋" w:eastAsia="仿宋" w:cs="仿宋"/>
                <w:bCs/>
                <w:color w:val="auto"/>
                <w:sz w:val="32"/>
                <w:szCs w:val="32"/>
              </w:rPr>
              <w:t>人</w:t>
            </w:r>
          </w:p>
        </w:tc>
      </w:tr>
      <w:tr w14:paraId="5501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145DA13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名称</w:t>
            </w:r>
          </w:p>
        </w:tc>
        <w:tc>
          <w:tcPr>
            <w:tcW w:w="2715" w:type="dxa"/>
            <w:vAlign w:val="center"/>
          </w:tcPr>
          <w:p w14:paraId="7BD8FF90">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692DB946">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姓名</w:t>
            </w:r>
          </w:p>
        </w:tc>
        <w:tc>
          <w:tcPr>
            <w:tcW w:w="2635" w:type="dxa"/>
            <w:tcBorders>
              <w:right w:val="single" w:color="auto" w:sz="18" w:space="0"/>
            </w:tcBorders>
            <w:vAlign w:val="center"/>
          </w:tcPr>
          <w:p w14:paraId="33A0BD4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0E5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41F30C44">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信用代码</w:t>
            </w:r>
          </w:p>
        </w:tc>
        <w:tc>
          <w:tcPr>
            <w:tcW w:w="2715" w:type="dxa"/>
            <w:vAlign w:val="center"/>
          </w:tcPr>
          <w:p w14:paraId="1641B129">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2FF948E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性别</w:t>
            </w:r>
          </w:p>
        </w:tc>
        <w:tc>
          <w:tcPr>
            <w:tcW w:w="2635" w:type="dxa"/>
            <w:tcBorders>
              <w:right w:val="single" w:color="auto" w:sz="18" w:space="0"/>
            </w:tcBorders>
            <w:vAlign w:val="center"/>
          </w:tcPr>
          <w:p w14:paraId="2FB277AB">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281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15C83591">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地址</w:t>
            </w:r>
          </w:p>
        </w:tc>
        <w:tc>
          <w:tcPr>
            <w:tcW w:w="2715" w:type="dxa"/>
            <w:vAlign w:val="center"/>
          </w:tcPr>
          <w:p w14:paraId="3ACFB9A4">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2E05E9CC">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职务</w:t>
            </w:r>
          </w:p>
        </w:tc>
        <w:tc>
          <w:tcPr>
            <w:tcW w:w="2635" w:type="dxa"/>
            <w:tcBorders>
              <w:right w:val="single" w:color="auto" w:sz="18" w:space="0"/>
            </w:tcBorders>
            <w:vAlign w:val="center"/>
          </w:tcPr>
          <w:p w14:paraId="130D981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255B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3B1C9743">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w:t>
            </w:r>
          </w:p>
        </w:tc>
        <w:tc>
          <w:tcPr>
            <w:tcW w:w="2715" w:type="dxa"/>
            <w:vAlign w:val="center"/>
          </w:tcPr>
          <w:p w14:paraId="12D21108">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37D8639B">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电话号码</w:t>
            </w:r>
          </w:p>
        </w:tc>
        <w:tc>
          <w:tcPr>
            <w:tcW w:w="2635" w:type="dxa"/>
            <w:tcBorders>
              <w:right w:val="single" w:color="auto" w:sz="18" w:space="0"/>
            </w:tcBorders>
            <w:vAlign w:val="center"/>
          </w:tcPr>
          <w:p w14:paraId="739A0DD6">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5CFB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3" w:type="dxa"/>
            <w:gridSpan w:val="2"/>
            <w:vMerge w:val="restart"/>
            <w:tcBorders>
              <w:left w:val="single" w:color="auto" w:sz="18" w:space="0"/>
            </w:tcBorders>
            <w:vAlign w:val="center"/>
          </w:tcPr>
          <w:p w14:paraId="62A20A2A">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证件号码</w:t>
            </w:r>
          </w:p>
        </w:tc>
        <w:tc>
          <w:tcPr>
            <w:tcW w:w="2715" w:type="dxa"/>
            <w:vAlign w:val="center"/>
          </w:tcPr>
          <w:p w14:paraId="2E08D9CA">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身份证（）护照（）</w:t>
            </w:r>
          </w:p>
        </w:tc>
        <w:tc>
          <w:tcPr>
            <w:tcW w:w="1566" w:type="dxa"/>
            <w:vMerge w:val="restart"/>
            <w:vAlign w:val="center"/>
          </w:tcPr>
          <w:p w14:paraId="2B6671A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证件号码</w:t>
            </w:r>
          </w:p>
        </w:tc>
        <w:tc>
          <w:tcPr>
            <w:tcW w:w="2635" w:type="dxa"/>
            <w:tcBorders>
              <w:right w:val="single" w:color="auto" w:sz="18" w:space="0"/>
            </w:tcBorders>
            <w:vAlign w:val="center"/>
          </w:tcPr>
          <w:p w14:paraId="3177DC6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身份证（）护照（）</w:t>
            </w:r>
          </w:p>
        </w:tc>
      </w:tr>
      <w:tr w14:paraId="2EBA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3" w:type="dxa"/>
            <w:gridSpan w:val="2"/>
            <w:vMerge w:val="continue"/>
            <w:tcBorders>
              <w:left w:val="single" w:color="auto" w:sz="18" w:space="0"/>
            </w:tcBorders>
            <w:vAlign w:val="center"/>
          </w:tcPr>
          <w:p w14:paraId="14D05383">
            <w:pPr>
              <w:keepNext w:val="0"/>
              <w:keepLines w:val="0"/>
              <w:pageBreakBefore w:val="0"/>
              <w:widowControl/>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2715" w:type="dxa"/>
            <w:vAlign w:val="center"/>
          </w:tcPr>
          <w:p w14:paraId="267422D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Merge w:val="continue"/>
            <w:vAlign w:val="center"/>
          </w:tcPr>
          <w:p w14:paraId="14224594">
            <w:pPr>
              <w:keepNext w:val="0"/>
              <w:keepLines w:val="0"/>
              <w:pageBreakBefore w:val="0"/>
              <w:widowControl/>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2635" w:type="dxa"/>
            <w:tcBorders>
              <w:right w:val="single" w:color="auto" w:sz="18" w:space="0"/>
            </w:tcBorders>
            <w:vAlign w:val="center"/>
          </w:tcPr>
          <w:p w14:paraId="03E25C19">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6563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8679" w:type="dxa"/>
            <w:gridSpan w:val="5"/>
            <w:tcBorders>
              <w:left w:val="single" w:color="auto" w:sz="18" w:space="0"/>
              <w:right w:val="single" w:color="auto" w:sz="18" w:space="0"/>
            </w:tcBorders>
          </w:tcPr>
          <w:p w14:paraId="0A58F188">
            <w:pPr>
              <w:keepNext w:val="0"/>
              <w:keepLines w:val="0"/>
              <w:pageBreakBefore w:val="0"/>
              <w:widowControl w:val="0"/>
              <w:kinsoku/>
              <w:wordWrap/>
              <w:overflowPunct/>
              <w:topLinePunct w:val="0"/>
              <w:autoSpaceDE/>
              <w:autoSpaceDN/>
              <w:bidi w:val="0"/>
              <w:adjustRightInd/>
              <w:snapToGrid/>
              <w:spacing w:before="312" w:beforeLines="100" w:line="560" w:lineRule="atLeast"/>
              <w:ind w:firstLine="56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28"/>
                <w:szCs w:val="28"/>
              </w:rPr>
              <w:t>本人（单位）授权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（受托</w:t>
            </w:r>
            <w:r>
              <w:rPr>
                <w:rFonts w:hint="eastAsia" w:ascii="仿宋" w:hAnsi="仿宋" w:eastAsia="仿宋" w:cs="仿宋"/>
                <w:color w:val="auto"/>
                <w:sz w:val="28"/>
                <w:szCs w:val="28"/>
                <w:lang w:val="en-US" w:eastAsia="zh-CN"/>
              </w:rPr>
              <w:t>代理人）代表本人（单位）参加2025年9月26日15时00分整体拍卖整体拍卖大冶市8处尾矿库固废综合利用处置权拍卖会，代表本人（单位）签订《成交确认书》等具有法律意义的任何文件、凭证等；</w:t>
            </w:r>
            <w:r>
              <w:rPr>
                <w:rFonts w:hint="eastAsia" w:ascii="仿宋" w:hAnsi="仿宋" w:eastAsia="仿宋" w:cs="仿宋"/>
                <w:color w:val="auto"/>
                <w:sz w:val="28"/>
                <w:szCs w:val="28"/>
              </w:rPr>
              <w:t>受托人在该出让活动中所做出的承诺、签署的合同或文件，本人（单位）均予以承认，并承担由此产生的法律后果。</w:t>
            </w:r>
          </w:p>
          <w:p w14:paraId="76EF07D4">
            <w:pPr>
              <w:keepNext w:val="0"/>
              <w:keepLines w:val="0"/>
              <w:pageBreakBefore w:val="0"/>
              <w:kinsoku/>
              <w:wordWrap/>
              <w:overflowPunct/>
              <w:topLinePunct w:val="0"/>
              <w:bidi w:val="0"/>
              <w:spacing w:line="560" w:lineRule="atLeast"/>
              <w:ind w:firstLine="3640" w:firstLineChars="1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委托人（</w:t>
            </w:r>
            <w:r>
              <w:rPr>
                <w:rFonts w:hint="eastAsia" w:ascii="仿宋" w:hAnsi="仿宋" w:eastAsia="仿宋" w:cs="仿宋"/>
                <w:color w:val="auto"/>
                <w:sz w:val="28"/>
                <w:szCs w:val="28"/>
                <w:lang w:val="en-US" w:eastAsia="zh-CN"/>
              </w:rPr>
              <w:t>公章</w:t>
            </w:r>
            <w:r>
              <w:rPr>
                <w:rFonts w:hint="eastAsia" w:ascii="仿宋" w:hAnsi="仿宋" w:eastAsia="仿宋" w:cs="仿宋"/>
                <w:color w:val="auto"/>
                <w:sz w:val="28"/>
                <w:szCs w:val="28"/>
              </w:rPr>
              <w:t>）：</w:t>
            </w:r>
          </w:p>
          <w:p w14:paraId="658BA708">
            <w:pPr>
              <w:keepNext w:val="0"/>
              <w:keepLines w:val="0"/>
              <w:pageBreakBefore w:val="0"/>
              <w:kinsoku/>
              <w:wordWrap/>
              <w:overflowPunct/>
              <w:topLinePunct w:val="0"/>
              <w:bidi w:val="0"/>
              <w:spacing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28"/>
                <w:szCs w:val="28"/>
                <w:lang w:val="en-US" w:eastAsia="zh-CN"/>
              </w:rPr>
              <w:t xml:space="preserve">年 </w:t>
            </w:r>
            <w:r>
              <w:rPr>
                <w:rFonts w:hint="eastAsia" w:ascii="仿宋" w:hAnsi="仿宋" w:eastAsia="仿宋" w:cs="仿宋"/>
                <w:color w:val="auto"/>
                <w:sz w:val="28"/>
                <w:szCs w:val="28"/>
              </w:rPr>
              <w:t xml:space="preserve">  月   日</w:t>
            </w:r>
          </w:p>
        </w:tc>
      </w:tr>
      <w:tr w14:paraId="7A91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1" w:hRule="atLeast"/>
        </w:trPr>
        <w:tc>
          <w:tcPr>
            <w:tcW w:w="539" w:type="dxa"/>
            <w:tcBorders>
              <w:left w:val="single" w:color="auto" w:sz="18" w:space="0"/>
              <w:bottom w:val="single" w:color="auto" w:sz="18" w:space="0"/>
            </w:tcBorders>
            <w:vAlign w:val="center"/>
          </w:tcPr>
          <w:p w14:paraId="64AC261E">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备</w:t>
            </w:r>
          </w:p>
          <w:p w14:paraId="2090AEFC">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注</w:t>
            </w:r>
          </w:p>
        </w:tc>
        <w:tc>
          <w:tcPr>
            <w:tcW w:w="8140" w:type="dxa"/>
            <w:gridSpan w:val="4"/>
            <w:tcBorders>
              <w:bottom w:val="single" w:color="auto" w:sz="18" w:space="0"/>
              <w:right w:val="single" w:color="auto" w:sz="18" w:space="0"/>
            </w:tcBorders>
            <w:vAlign w:val="center"/>
          </w:tcPr>
          <w:p w14:paraId="767886F0">
            <w:pPr>
              <w:keepNext w:val="0"/>
              <w:keepLines w:val="0"/>
              <w:pageBreakBefore w:val="0"/>
              <w:kinsoku/>
              <w:wordWrap/>
              <w:overflowPunct/>
              <w:topLinePunct w:val="0"/>
              <w:bidi w:val="0"/>
              <w:spacing w:before="156" w:beforeLines="50"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兹证明本委托书确系本单位法定代表人亲自签署。</w:t>
            </w:r>
          </w:p>
          <w:p w14:paraId="1D7D8985">
            <w:pPr>
              <w:keepNext w:val="0"/>
              <w:keepLines w:val="0"/>
              <w:pageBreakBefore w:val="0"/>
              <w:kinsoku/>
              <w:wordWrap/>
              <w:overflowPunct/>
              <w:topLinePunct w:val="0"/>
              <w:bidi w:val="0"/>
              <w:spacing w:before="156" w:beforeLines="50" w:line="560" w:lineRule="atLeast"/>
              <w:ind w:firstLine="2240" w:firstLineChars="8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法定代表人</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签章）</w:t>
            </w:r>
            <w:r>
              <w:rPr>
                <w:rFonts w:hint="eastAsia" w:ascii="仿宋" w:hAnsi="仿宋" w:eastAsia="仿宋" w:cs="仿宋"/>
                <w:bCs/>
                <w:color w:val="auto"/>
                <w:sz w:val="28"/>
                <w:szCs w:val="28"/>
                <w:lang w:eastAsia="zh-CN"/>
              </w:rPr>
              <w:t>：</w:t>
            </w:r>
          </w:p>
          <w:p w14:paraId="319A2A16">
            <w:pPr>
              <w:keepNext w:val="0"/>
              <w:keepLines w:val="0"/>
              <w:pageBreakBefore w:val="0"/>
              <w:kinsoku/>
              <w:wordWrap/>
              <w:overflowPunct/>
              <w:topLinePunct w:val="0"/>
              <w:bidi w:val="0"/>
              <w:spacing w:after="156" w:afterLines="50" w:line="560" w:lineRule="atLeast"/>
              <w:jc w:val="right"/>
              <w:textAlignment w:val="auto"/>
              <w:rPr>
                <w:rFonts w:hint="eastAsia" w:ascii="仿宋" w:hAnsi="仿宋" w:eastAsia="仿宋" w:cs="仿宋"/>
                <w:bCs/>
                <w:color w:val="auto"/>
                <w:sz w:val="32"/>
                <w:szCs w:val="32"/>
              </w:rPr>
            </w:pPr>
            <w:r>
              <w:rPr>
                <w:rFonts w:hint="eastAsia" w:ascii="仿宋" w:hAnsi="仿宋" w:eastAsia="仿宋" w:cs="仿宋"/>
                <w:color w:val="auto"/>
                <w:sz w:val="28"/>
                <w:szCs w:val="28"/>
              </w:rPr>
              <w:t xml:space="preserve">  年     月   日</w:t>
            </w:r>
          </w:p>
        </w:tc>
      </w:tr>
    </w:tbl>
    <w:p w14:paraId="2136D1C6">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lang w:eastAsia="zh-CN"/>
        </w:rPr>
      </w:pPr>
      <w:r>
        <w:rPr>
          <w:rFonts w:hint="eastAsia" w:ascii="华文中宋" w:hAnsi="华文中宋" w:eastAsia="华文中宋" w:cs="华文中宋"/>
          <w:b w:val="0"/>
          <w:bCs/>
          <w:color w:val="auto"/>
          <w:sz w:val="48"/>
          <w:szCs w:val="48"/>
        </w:rPr>
        <w:t>授 权 委 托 书</w:t>
      </w:r>
      <w:r>
        <w:rPr>
          <w:rFonts w:hint="eastAsia" w:ascii="华文中宋" w:hAnsi="华文中宋" w:eastAsia="华文中宋" w:cs="华文中宋"/>
          <w:b w:val="0"/>
          <w:bCs/>
          <w:color w:val="auto"/>
          <w:sz w:val="48"/>
          <w:szCs w:val="48"/>
          <w:lang w:eastAsia="zh-CN"/>
        </w:rPr>
        <w:t>（</w:t>
      </w:r>
      <w:r>
        <w:rPr>
          <w:rFonts w:hint="eastAsia" w:ascii="华文中宋" w:hAnsi="华文中宋" w:eastAsia="华文中宋" w:cs="华文中宋"/>
          <w:b w:val="0"/>
          <w:bCs/>
          <w:color w:val="auto"/>
          <w:sz w:val="48"/>
          <w:szCs w:val="48"/>
          <w:lang w:val="en-US" w:eastAsia="zh-CN"/>
        </w:rPr>
        <w:t>样本</w:t>
      </w:r>
      <w:r>
        <w:rPr>
          <w:rFonts w:hint="eastAsia" w:ascii="华文中宋" w:hAnsi="华文中宋" w:eastAsia="华文中宋" w:cs="华文中宋"/>
          <w:b w:val="0"/>
          <w:bCs/>
          <w:color w:val="auto"/>
          <w:sz w:val="48"/>
          <w:szCs w:val="48"/>
          <w:lang w:eastAsia="zh-CN"/>
        </w:rPr>
        <w:t>）</w:t>
      </w:r>
    </w:p>
    <w:p w14:paraId="67DE70FF">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32"/>
          <w:szCs w:val="32"/>
        </w:rPr>
      </w:pPr>
    </w:p>
    <w:p w14:paraId="143A99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华文中宋" w:hAnsi="华文中宋" w:eastAsia="华文中宋" w:cs="华文中宋"/>
          <w:b/>
          <w:bCs w:val="0"/>
          <w:color w:val="auto"/>
          <w:kern w:val="0"/>
          <w:sz w:val="44"/>
          <w:szCs w:val="44"/>
        </w:rPr>
      </w:pPr>
      <w:r>
        <w:rPr>
          <w:rFonts w:hint="eastAsia" w:ascii="华文中宋" w:hAnsi="华文中宋" w:eastAsia="华文中宋" w:cs="华文中宋"/>
          <w:b/>
          <w:bCs w:val="0"/>
          <w:color w:val="auto"/>
          <w:kern w:val="0"/>
          <w:sz w:val="44"/>
          <w:szCs w:val="44"/>
        </w:rPr>
        <w:t>竞 买 协 议</w:t>
      </w:r>
    </w:p>
    <w:p w14:paraId="67B97E8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b/>
          <w:bCs w:val="0"/>
          <w:color w:val="auto"/>
          <w:kern w:val="0"/>
          <w:sz w:val="18"/>
          <w:szCs w:val="18"/>
        </w:rPr>
      </w:pPr>
    </w:p>
    <w:p w14:paraId="5C64E437">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拍卖人：（甲方）</w:t>
      </w:r>
      <w:r>
        <w:rPr>
          <w:rFonts w:hint="eastAsia" w:ascii="仿宋" w:hAnsi="仿宋" w:eastAsia="仿宋" w:cs="仿宋"/>
          <w:color w:val="auto"/>
          <w:kern w:val="0"/>
          <w:sz w:val="28"/>
          <w:szCs w:val="28"/>
          <w:u w:val="single"/>
          <w:lang w:val="en-US" w:eastAsia="zh-CN"/>
        </w:rPr>
        <w:t xml:space="preserve">湖北励勤拍卖有限公司 </w:t>
      </w:r>
    </w:p>
    <w:p w14:paraId="2FE5802E">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竞买人：（乙方）</w:t>
      </w:r>
      <w:r>
        <w:rPr>
          <w:rFonts w:hint="eastAsia" w:ascii="仿宋" w:hAnsi="仿宋" w:eastAsia="仿宋" w:cs="仿宋"/>
          <w:color w:val="auto"/>
          <w:kern w:val="0"/>
          <w:sz w:val="28"/>
          <w:szCs w:val="28"/>
          <w:u w:val="single"/>
          <w:lang w:val="en-US" w:eastAsia="zh-CN"/>
        </w:rPr>
        <w:t xml:space="preserve">                     </w:t>
      </w:r>
    </w:p>
    <w:p w14:paraId="1065F2D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根据《中华人民共和国</w:t>
      </w:r>
      <w:r>
        <w:rPr>
          <w:rFonts w:hint="eastAsia" w:ascii="仿宋" w:hAnsi="仿宋" w:eastAsia="仿宋" w:cs="仿宋"/>
          <w:color w:val="auto"/>
          <w:kern w:val="0"/>
          <w:sz w:val="28"/>
          <w:szCs w:val="28"/>
          <w:lang w:val="en-US" w:eastAsia="zh-CN"/>
        </w:rPr>
        <w:t>民法典</w:t>
      </w:r>
      <w:r>
        <w:rPr>
          <w:rFonts w:hint="eastAsia" w:ascii="仿宋" w:hAnsi="仿宋" w:eastAsia="仿宋" w:cs="仿宋"/>
          <w:color w:val="auto"/>
          <w:kern w:val="0"/>
          <w:sz w:val="28"/>
          <w:szCs w:val="28"/>
          <w:lang w:eastAsia="zh-CN"/>
        </w:rPr>
        <w:t>》、《中华人民共和国拍卖法》及其</w:t>
      </w:r>
      <w:r>
        <w:rPr>
          <w:rFonts w:hint="eastAsia" w:ascii="仿宋" w:hAnsi="仿宋" w:eastAsia="仿宋" w:cs="仿宋"/>
          <w:color w:val="auto"/>
          <w:kern w:val="0"/>
          <w:sz w:val="28"/>
          <w:szCs w:val="28"/>
          <w:lang w:val="en-US" w:eastAsia="zh-CN"/>
        </w:rPr>
        <w:t>他</w:t>
      </w:r>
      <w:r>
        <w:rPr>
          <w:rFonts w:hint="eastAsia" w:ascii="仿宋" w:hAnsi="仿宋" w:eastAsia="仿宋" w:cs="仿宋"/>
          <w:color w:val="auto"/>
          <w:kern w:val="0"/>
          <w:sz w:val="28"/>
          <w:szCs w:val="28"/>
          <w:lang w:eastAsia="zh-CN"/>
        </w:rPr>
        <w:t>相关</w:t>
      </w:r>
      <w:r>
        <w:rPr>
          <w:rFonts w:hint="eastAsia" w:ascii="仿宋" w:hAnsi="仿宋" w:eastAsia="仿宋" w:cs="仿宋"/>
          <w:color w:val="auto"/>
          <w:kern w:val="0"/>
          <w:sz w:val="28"/>
          <w:szCs w:val="28"/>
          <w:lang w:val="en-US" w:eastAsia="zh-CN"/>
        </w:rPr>
        <w:t>法律法规</w:t>
      </w:r>
      <w:r>
        <w:rPr>
          <w:rFonts w:hint="eastAsia" w:ascii="仿宋" w:hAnsi="仿宋" w:eastAsia="仿宋" w:cs="仿宋"/>
          <w:color w:val="auto"/>
          <w:kern w:val="0"/>
          <w:sz w:val="28"/>
          <w:szCs w:val="28"/>
          <w:lang w:eastAsia="zh-CN"/>
        </w:rPr>
        <w:t>，经双方平等协商，达成如下协议：</w:t>
      </w:r>
    </w:p>
    <w:p w14:paraId="7E5AA13C">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一、拍卖标的</w:t>
      </w:r>
    </w:p>
    <w:p w14:paraId="7EF7909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乙方根据甲方分别在2025年9月19日在《今日大冶》报纸媒体和大冶市公共资源交易中心指定网络媒体同步发布拍卖公告，了解了以下内容并愿意作为竞买人参加以下标的竞买，自愿参加以下拍卖活动：</w:t>
      </w:r>
    </w:p>
    <w:p w14:paraId="411790AB">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拍卖标的：整体拍卖大冶市8处尾矿库固废综合利用处置权，库容量约5836.91万吨，每吨2.50元，合计参考价约为14592.3万元。</w:t>
      </w:r>
    </w:p>
    <w:p w14:paraId="3848708B">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2、拍卖标的展示时间及地点：自公告之日起在标的所在地展示；</w:t>
      </w:r>
    </w:p>
    <w:p w14:paraId="1E69578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3、拍卖标的现状：见标的实地现状及拍卖文件；</w:t>
      </w:r>
    </w:p>
    <w:p w14:paraId="31F9BB1F">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4、拍卖时间：2025年9月26日15时00分；</w:t>
      </w:r>
    </w:p>
    <w:p w14:paraId="00BA418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5、拍卖地点：大冶市公共资源交易中心317室。</w:t>
      </w:r>
    </w:p>
    <w:p w14:paraId="68E28EE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二、</w:t>
      </w:r>
      <w:r>
        <w:rPr>
          <w:rFonts w:hint="eastAsia" w:ascii="仿宋" w:hAnsi="仿宋" w:eastAsia="仿宋" w:cs="仿宋"/>
          <w:color w:val="auto"/>
          <w:kern w:val="0"/>
          <w:sz w:val="28"/>
          <w:szCs w:val="28"/>
        </w:rPr>
        <w:t>甲方应当向乙方说明拍卖标的物</w:t>
      </w:r>
      <w:r>
        <w:rPr>
          <w:rFonts w:hint="eastAsia" w:ascii="仿宋" w:hAnsi="仿宋" w:eastAsia="仿宋" w:cs="仿宋"/>
          <w:color w:val="auto"/>
          <w:kern w:val="0"/>
          <w:sz w:val="28"/>
          <w:szCs w:val="28"/>
          <w:lang w:val="en-US" w:eastAsia="zh-CN"/>
        </w:rPr>
        <w:t>已知</w:t>
      </w:r>
      <w:r>
        <w:rPr>
          <w:rFonts w:hint="eastAsia" w:ascii="仿宋" w:hAnsi="仿宋" w:eastAsia="仿宋" w:cs="仿宋"/>
          <w:color w:val="auto"/>
          <w:kern w:val="0"/>
          <w:sz w:val="28"/>
          <w:szCs w:val="28"/>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28"/>
          <w:szCs w:val="28"/>
          <w:lang w:val="en-US" w:eastAsia="zh-CN"/>
        </w:rPr>
        <w:t>买受人的签章应于登记领号牌的竞买人名称一致，如不一致，我们视为授权签名，以登记领号牌的竞买人名称为权利义务人。</w:t>
      </w:r>
    </w:p>
    <w:p w14:paraId="24D98FE9">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三、</w:t>
      </w:r>
      <w:r>
        <w:rPr>
          <w:rFonts w:hint="eastAsia" w:ascii="仿宋" w:hAnsi="仿宋" w:eastAsia="仿宋" w:cs="仿宋"/>
          <w:color w:val="auto"/>
          <w:kern w:val="0"/>
          <w:sz w:val="28"/>
          <w:szCs w:val="28"/>
          <w:lang w:eastAsia="zh-CN"/>
        </w:rPr>
        <w:t>竞买保证金</w:t>
      </w:r>
    </w:p>
    <w:p w14:paraId="4259E12C">
      <w:pPr>
        <w:keepNext w:val="0"/>
        <w:keepLines w:val="0"/>
        <w:pageBreakBefore w:val="0"/>
        <w:kinsoku/>
        <w:wordWrap/>
        <w:overflowPunct/>
        <w:topLinePunct w:val="0"/>
        <w:bidi w:val="0"/>
        <w:spacing w:before="0" w:beforeAutospacing="0" w:line="600" w:lineRule="exact"/>
        <w:ind w:firstLine="560" w:firstLineChars="200"/>
        <w:textAlignment w:val="auto"/>
        <w:rPr>
          <w:rFonts w:hint="eastAsia" w:ascii="仿宋" w:hAnsi="仿宋" w:eastAsia="仿宋" w:cs="仿宋"/>
          <w:color w:val="0000FF"/>
          <w:kern w:val="2"/>
          <w:sz w:val="28"/>
          <w:szCs w:val="28"/>
          <w:lang w:val="en-US" w:eastAsia="zh-CN" w:bidi="ar-SA"/>
        </w:rPr>
      </w:pPr>
      <w:r>
        <w:rPr>
          <w:rFonts w:hint="eastAsia" w:ascii="仿宋" w:hAnsi="仿宋" w:eastAsia="仿宋" w:cs="仿宋"/>
          <w:color w:val="auto"/>
          <w:kern w:val="0"/>
          <w:sz w:val="28"/>
          <w:szCs w:val="28"/>
        </w:rPr>
        <w:t>乙方在</w:t>
      </w:r>
      <w:r>
        <w:rPr>
          <w:rFonts w:hint="eastAsia" w:ascii="仿宋" w:hAnsi="仿宋" w:eastAsia="仿宋" w:cs="仿宋"/>
          <w:color w:val="auto"/>
          <w:kern w:val="0"/>
          <w:sz w:val="28"/>
          <w:szCs w:val="28"/>
          <w:lang w:val="en-US" w:eastAsia="zh-CN"/>
        </w:rPr>
        <w:t>参加</w:t>
      </w:r>
      <w:r>
        <w:rPr>
          <w:rFonts w:hint="eastAsia" w:ascii="仿宋" w:hAnsi="仿宋" w:eastAsia="仿宋" w:cs="仿宋"/>
          <w:color w:val="auto"/>
          <w:kern w:val="0"/>
          <w:sz w:val="28"/>
          <w:szCs w:val="28"/>
        </w:rPr>
        <w:t>竞买前，应向</w:t>
      </w:r>
      <w:r>
        <w:rPr>
          <w:rFonts w:hint="eastAsia" w:ascii="仿宋" w:hAnsi="仿宋" w:eastAsia="仿宋" w:cs="仿宋"/>
          <w:color w:val="auto"/>
          <w:kern w:val="0"/>
          <w:sz w:val="28"/>
          <w:szCs w:val="28"/>
          <w:lang w:val="en-US" w:eastAsia="zh-CN"/>
        </w:rPr>
        <w:t>湖北励勤拍卖有限公司</w:t>
      </w:r>
      <w:r>
        <w:rPr>
          <w:rFonts w:hint="eastAsia" w:ascii="仿宋" w:hAnsi="仿宋" w:eastAsia="仿宋" w:cs="仿宋"/>
          <w:color w:val="auto"/>
          <w:kern w:val="0"/>
          <w:sz w:val="28"/>
          <w:szCs w:val="28"/>
        </w:rPr>
        <w:t>交纳</w:t>
      </w:r>
      <w:r>
        <w:rPr>
          <w:rFonts w:hint="eastAsia" w:ascii="仿宋" w:hAnsi="仿宋" w:eastAsia="仿宋" w:cs="仿宋"/>
          <w:b/>
          <w:bCs/>
          <w:color w:val="0000FF"/>
          <w:kern w:val="0"/>
          <w:sz w:val="28"/>
          <w:szCs w:val="28"/>
          <w:u w:val="none"/>
          <w:lang w:val="en-US" w:eastAsia="zh-CN"/>
        </w:rPr>
        <w:t>竞买保证金4万元</w:t>
      </w:r>
      <w:r>
        <w:rPr>
          <w:rFonts w:hint="eastAsia" w:ascii="仿宋" w:hAnsi="仿宋" w:eastAsia="仿宋" w:cs="仿宋"/>
          <w:b/>
          <w:bCs/>
          <w:color w:val="0000FF"/>
          <w:kern w:val="0"/>
          <w:sz w:val="28"/>
          <w:szCs w:val="28"/>
          <w:u w:val="none"/>
          <w:lang w:eastAsia="zh-CN"/>
        </w:rPr>
        <w:t>，</w:t>
      </w:r>
      <w:r>
        <w:rPr>
          <w:rFonts w:hint="eastAsia" w:ascii="仿宋" w:hAnsi="仿宋" w:eastAsia="仿宋" w:cs="仿宋"/>
          <w:color w:val="auto"/>
          <w:kern w:val="0"/>
          <w:sz w:val="28"/>
          <w:szCs w:val="28"/>
        </w:rPr>
        <w:t>截止时</w:t>
      </w:r>
      <w:r>
        <w:rPr>
          <w:rFonts w:hint="eastAsia" w:ascii="仿宋" w:hAnsi="仿宋" w:eastAsia="仿宋" w:cs="仿宋"/>
          <w:color w:val="auto"/>
          <w:kern w:val="0"/>
          <w:sz w:val="28"/>
          <w:szCs w:val="28"/>
          <w:lang w:val="en-US" w:eastAsia="zh-CN"/>
        </w:rPr>
        <w:t>间为2025年9月25日下午4时整（资金以确</w:t>
      </w:r>
      <w:r>
        <w:rPr>
          <w:rFonts w:hint="eastAsia" w:ascii="仿宋" w:hAnsi="仿宋" w:eastAsia="仿宋" w:cs="仿宋"/>
          <w:color w:val="auto"/>
          <w:spacing w:val="-6"/>
          <w:kern w:val="0"/>
          <w:sz w:val="28"/>
          <w:szCs w:val="28"/>
        </w:rPr>
        <w:t>认到账为准）</w:t>
      </w:r>
      <w:r>
        <w:rPr>
          <w:rFonts w:hint="eastAsia" w:ascii="仿宋" w:hAnsi="仿宋" w:eastAsia="仿宋" w:cs="仿宋"/>
          <w:color w:val="000000" w:themeColor="text1"/>
          <w:spacing w:val="-6"/>
          <w:kern w:val="0"/>
          <w:sz w:val="28"/>
          <w:szCs w:val="28"/>
          <w:lang w:eastAsia="zh-CN"/>
        </w:rPr>
        <w:t>。</w:t>
      </w:r>
      <w:r>
        <w:rPr>
          <w:rFonts w:hint="eastAsia" w:ascii="仿宋" w:hAnsi="仿宋" w:eastAsia="仿宋" w:cs="仿宋"/>
          <w:color w:val="auto"/>
          <w:kern w:val="0"/>
          <w:sz w:val="28"/>
          <w:szCs w:val="28"/>
          <w:lang w:val="en-US" w:eastAsia="zh-CN"/>
        </w:rPr>
        <w:t>乙方未足额存入竞买保证金的，不得</w:t>
      </w:r>
      <w:r>
        <w:rPr>
          <w:rFonts w:hint="eastAsia" w:ascii="仿宋" w:hAnsi="仿宋" w:eastAsia="仿宋" w:cs="仿宋"/>
          <w:color w:val="auto"/>
          <w:kern w:val="0"/>
          <w:sz w:val="28"/>
          <w:szCs w:val="28"/>
        </w:rPr>
        <w:t>参加竞买。</w:t>
      </w:r>
      <w:r>
        <w:rPr>
          <w:rFonts w:hint="eastAsia" w:ascii="仿宋" w:hAnsi="仿宋" w:eastAsia="仿宋" w:cs="仿宋"/>
          <w:color w:val="0000FF"/>
          <w:kern w:val="0"/>
          <w:sz w:val="28"/>
          <w:szCs w:val="28"/>
          <w:lang w:val="en-US" w:eastAsia="zh-CN"/>
        </w:rPr>
        <w:t>竞买保证金</w:t>
      </w:r>
      <w:r>
        <w:rPr>
          <w:rFonts w:hint="eastAsia" w:ascii="仿宋" w:hAnsi="仿宋" w:eastAsia="仿宋" w:cs="仿宋"/>
          <w:color w:val="0000FF"/>
          <w:kern w:val="2"/>
          <w:sz w:val="28"/>
          <w:szCs w:val="28"/>
          <w:lang w:val="en-US" w:eastAsia="zh-CN" w:bidi="ar-SA"/>
        </w:rPr>
        <w:t>账户如下：</w:t>
      </w:r>
    </w:p>
    <w:p w14:paraId="0B782B01">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0000FF"/>
          <w:kern w:val="2"/>
          <w:sz w:val="28"/>
          <w:szCs w:val="28"/>
          <w:lang w:val="en-US" w:eastAsia="zh-CN" w:bidi="ar-SA"/>
        </w:rPr>
      </w:pPr>
      <w:r>
        <w:rPr>
          <w:rFonts w:hint="eastAsia" w:ascii="仿宋" w:hAnsi="仿宋" w:eastAsia="仿宋" w:cs="仿宋"/>
          <w:color w:val="0000FF"/>
          <w:kern w:val="2"/>
          <w:sz w:val="28"/>
          <w:szCs w:val="28"/>
          <w:lang w:val="en-US" w:eastAsia="zh-CN" w:bidi="ar-SA"/>
        </w:rPr>
        <w:t>账户名称：湖北励勤拍卖有限公司</w:t>
      </w:r>
    </w:p>
    <w:p w14:paraId="77E28F9E">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color w:val="0000FF"/>
          <w:kern w:val="2"/>
          <w:sz w:val="28"/>
          <w:szCs w:val="28"/>
          <w:lang w:val="en-US" w:eastAsia="zh-CN" w:bidi="ar-SA"/>
        </w:rPr>
      </w:pPr>
      <w:r>
        <w:rPr>
          <w:rFonts w:hint="eastAsia" w:ascii="仿宋" w:hAnsi="仿宋" w:eastAsia="仿宋" w:cs="仿宋"/>
          <w:color w:val="0000FF"/>
          <w:kern w:val="2"/>
          <w:sz w:val="28"/>
          <w:szCs w:val="28"/>
          <w:lang w:val="en-US" w:eastAsia="zh-CN" w:bidi="ar-SA"/>
        </w:rPr>
        <w:t>开 户 行：湖北大冶农村商业银行股份有限公司</w:t>
      </w:r>
    </w:p>
    <w:p w14:paraId="33F268D3">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color w:val="0000FF"/>
          <w:kern w:val="2"/>
          <w:sz w:val="28"/>
          <w:szCs w:val="28"/>
          <w:lang w:val="en-US" w:eastAsia="zh-CN" w:bidi="ar-SA"/>
        </w:rPr>
      </w:pPr>
      <w:r>
        <w:rPr>
          <w:rFonts w:hint="eastAsia" w:ascii="仿宋" w:hAnsi="仿宋" w:eastAsia="仿宋" w:cs="仿宋"/>
          <w:color w:val="0000FF"/>
          <w:kern w:val="2"/>
          <w:sz w:val="28"/>
          <w:szCs w:val="28"/>
          <w:lang w:val="en-US" w:eastAsia="zh-CN" w:bidi="ar-SA"/>
        </w:rPr>
        <w:t>账    号：8201 0000 0054 73491</w:t>
      </w:r>
    </w:p>
    <w:p w14:paraId="3F8AFA58">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auto"/>
          <w:kern w:val="2"/>
          <w:sz w:val="28"/>
          <w:szCs w:val="28"/>
          <w:lang w:val="en-US" w:eastAsia="zh-CN" w:bidi="ar-SA"/>
        </w:rPr>
      </w:pPr>
    </w:p>
    <w:p w14:paraId="5781215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eastAsia="zh-CN"/>
        </w:rPr>
        <w:t>竞买保证金</w:t>
      </w:r>
      <w:r>
        <w:rPr>
          <w:rFonts w:hint="eastAsia" w:ascii="仿宋" w:hAnsi="仿宋" w:eastAsia="仿宋" w:cs="仿宋"/>
          <w:color w:val="auto"/>
          <w:kern w:val="0"/>
          <w:sz w:val="28"/>
          <w:szCs w:val="28"/>
        </w:rPr>
        <w:t>不是定金，</w:t>
      </w:r>
      <w:r>
        <w:rPr>
          <w:rFonts w:hint="eastAsia" w:ascii="仿宋" w:hAnsi="仿宋" w:eastAsia="仿宋" w:cs="仿宋"/>
          <w:color w:val="auto"/>
          <w:kern w:val="0"/>
          <w:sz w:val="28"/>
          <w:szCs w:val="28"/>
          <w:lang w:eastAsia="zh-CN"/>
        </w:rPr>
        <w:t>竞买保证金</w:t>
      </w:r>
      <w:r>
        <w:rPr>
          <w:rFonts w:hint="eastAsia" w:ascii="仿宋" w:hAnsi="仿宋" w:eastAsia="仿宋" w:cs="仿宋"/>
          <w:color w:val="auto"/>
          <w:kern w:val="0"/>
          <w:sz w:val="28"/>
          <w:szCs w:val="28"/>
        </w:rPr>
        <w:t>只用于《拍卖法》第三十九条规定的情况出现时。</w:t>
      </w:r>
      <w:r>
        <w:rPr>
          <w:rFonts w:hint="eastAsia" w:ascii="仿宋" w:hAnsi="仿宋" w:eastAsia="仿宋" w:cs="仿宋"/>
          <w:color w:val="auto"/>
          <w:kern w:val="0"/>
          <w:sz w:val="28"/>
          <w:szCs w:val="28"/>
          <w:lang w:val="en-US" w:eastAsia="zh-CN"/>
        </w:rPr>
        <w:t>买受人未及时签订成交确认书和处置权合同或未按照约定及时支付第一笔成交价款的，则视为违约。</w:t>
      </w:r>
      <w:r>
        <w:rPr>
          <w:rFonts w:hint="eastAsia" w:ascii="仿宋" w:hAnsi="仿宋" w:eastAsia="仿宋" w:cs="仿宋"/>
          <w:color w:val="auto"/>
          <w:kern w:val="0"/>
          <w:sz w:val="28"/>
          <w:szCs w:val="28"/>
        </w:rPr>
        <w:t>买受人违约时，</w:t>
      </w:r>
      <w:r>
        <w:rPr>
          <w:rFonts w:hint="eastAsia" w:ascii="仿宋" w:hAnsi="仿宋" w:eastAsia="仿宋" w:cs="仿宋"/>
          <w:color w:val="auto"/>
          <w:kern w:val="0"/>
          <w:sz w:val="28"/>
          <w:szCs w:val="28"/>
          <w:lang w:val="en-US" w:eastAsia="zh-CN"/>
        </w:rPr>
        <w:t>应当承担违约责任。即</w:t>
      </w:r>
      <w:r>
        <w:rPr>
          <w:rFonts w:hint="eastAsia" w:ascii="仿宋" w:hAnsi="仿宋" w:eastAsia="仿宋" w:cs="仿宋"/>
          <w:color w:val="auto"/>
          <w:sz w:val="28"/>
          <w:szCs w:val="28"/>
          <w:lang w:val="en-US" w:eastAsia="zh-CN"/>
        </w:rPr>
        <w:t>由拍卖人征得委托人同意，</w:t>
      </w:r>
      <w:r>
        <w:rPr>
          <w:rFonts w:hint="eastAsia" w:ascii="仿宋" w:hAnsi="仿宋" w:eastAsia="仿宋" w:cs="仿宋"/>
          <w:color w:val="auto"/>
          <w:sz w:val="28"/>
          <w:szCs w:val="28"/>
        </w:rPr>
        <w:t>将拍卖标的再行拍卖。拍卖标的再行拍卖的，原买受人应当支付第一次拍卖中本人及委托人应当支付的佣金</w:t>
      </w:r>
      <w:r>
        <w:rPr>
          <w:rFonts w:hint="eastAsia" w:ascii="仿宋" w:hAnsi="仿宋" w:eastAsia="仿宋" w:cs="仿宋"/>
          <w:color w:val="auto"/>
          <w:sz w:val="28"/>
          <w:szCs w:val="28"/>
          <w:lang w:val="en-US" w:eastAsia="zh-CN"/>
        </w:rPr>
        <w:t>（即在买受人已交纳的竞买保证金中优先扣减）</w:t>
      </w:r>
      <w:r>
        <w:rPr>
          <w:rFonts w:hint="eastAsia" w:ascii="仿宋" w:hAnsi="仿宋" w:eastAsia="仿宋" w:cs="仿宋"/>
          <w:color w:val="auto"/>
          <w:sz w:val="28"/>
          <w:szCs w:val="28"/>
        </w:rPr>
        <w:t>。再行拍卖的价款低于原拍卖价款的，原买受人应当补足</w:t>
      </w:r>
      <w:r>
        <w:rPr>
          <w:rFonts w:hint="eastAsia" w:ascii="仿宋" w:hAnsi="仿宋" w:eastAsia="仿宋" w:cs="仿宋"/>
          <w:color w:val="auto"/>
          <w:sz w:val="28"/>
          <w:szCs w:val="28"/>
          <w:lang w:val="en-US" w:eastAsia="zh-CN"/>
        </w:rPr>
        <w:t>成交价款的</w:t>
      </w:r>
      <w:r>
        <w:rPr>
          <w:rFonts w:hint="eastAsia" w:ascii="仿宋" w:hAnsi="仿宋" w:eastAsia="仿宋" w:cs="仿宋"/>
          <w:color w:val="auto"/>
          <w:sz w:val="28"/>
          <w:szCs w:val="28"/>
        </w:rPr>
        <w:t>差额</w:t>
      </w:r>
      <w:r>
        <w:rPr>
          <w:rFonts w:hint="eastAsia" w:ascii="仿宋" w:hAnsi="仿宋" w:eastAsia="仿宋" w:cs="仿宋"/>
          <w:color w:val="auto"/>
          <w:sz w:val="28"/>
          <w:szCs w:val="28"/>
          <w:lang w:val="en-US" w:eastAsia="zh-CN"/>
        </w:rPr>
        <w:t>（即在买受人已交纳的竞买保证金中扣减，扣完为止）。</w:t>
      </w:r>
      <w:r>
        <w:rPr>
          <w:rFonts w:hint="eastAsia" w:ascii="仿宋" w:hAnsi="仿宋" w:eastAsia="仿宋" w:cs="仿宋"/>
          <w:color w:val="auto"/>
          <w:sz w:val="28"/>
          <w:szCs w:val="28"/>
        </w:rPr>
        <w:t>拍卖标的再行拍卖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原违约买受人不得参与拍卖。</w:t>
      </w:r>
    </w:p>
    <w:p w14:paraId="6421B7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未成交</w:t>
      </w:r>
      <w:r>
        <w:rPr>
          <w:rFonts w:hint="eastAsia" w:ascii="仿宋" w:hAnsi="仿宋" w:eastAsia="仿宋" w:cs="仿宋"/>
          <w:color w:val="auto"/>
          <w:sz w:val="28"/>
          <w:szCs w:val="28"/>
        </w:rPr>
        <w:t>竞买人交纳的</w:t>
      </w:r>
      <w:r>
        <w:rPr>
          <w:rFonts w:hint="eastAsia" w:ascii="仿宋" w:hAnsi="仿宋" w:eastAsia="仿宋" w:cs="仿宋"/>
          <w:color w:val="auto"/>
          <w:sz w:val="28"/>
          <w:szCs w:val="28"/>
          <w:lang w:val="en-US" w:eastAsia="zh-CN"/>
        </w:rPr>
        <w:t>竞买保证金</w:t>
      </w:r>
      <w:r>
        <w:rPr>
          <w:rFonts w:hint="eastAsia" w:ascii="仿宋" w:hAnsi="仿宋" w:eastAsia="仿宋" w:cs="仿宋"/>
          <w:color w:val="auto"/>
          <w:sz w:val="28"/>
          <w:szCs w:val="28"/>
        </w:rPr>
        <w:t>，在拍卖</w:t>
      </w:r>
      <w:r>
        <w:rPr>
          <w:rFonts w:hint="eastAsia" w:ascii="仿宋" w:hAnsi="仿宋" w:eastAsia="仿宋" w:cs="仿宋"/>
          <w:color w:val="auto"/>
          <w:sz w:val="28"/>
          <w:szCs w:val="28"/>
          <w:lang w:val="en-US" w:eastAsia="zh-CN"/>
        </w:rPr>
        <w:t>会</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三个工作日内全额</w:t>
      </w:r>
      <w:r>
        <w:rPr>
          <w:rFonts w:hint="eastAsia" w:ascii="仿宋" w:hAnsi="仿宋" w:eastAsia="仿宋" w:cs="仿宋"/>
          <w:color w:val="auto"/>
          <w:sz w:val="28"/>
          <w:szCs w:val="28"/>
        </w:rPr>
        <w:t>无息退还。</w:t>
      </w:r>
    </w:p>
    <w:p w14:paraId="1F6799A4">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四、拍卖方式</w:t>
      </w:r>
    </w:p>
    <w:p w14:paraId="17923DB3">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本标的设有保留价，最高应价不低于保留价的，</w:t>
      </w:r>
      <w:r>
        <w:rPr>
          <w:rFonts w:hint="eastAsia" w:ascii="仿宋" w:hAnsi="仿宋" w:eastAsia="仿宋" w:cs="仿宋"/>
          <w:color w:val="auto"/>
          <w:kern w:val="0"/>
          <w:sz w:val="28"/>
          <w:szCs w:val="28"/>
        </w:rPr>
        <w:t>经拍卖师落槌后即表示拍卖成交，双方不得反悔。本次拍卖会的</w:t>
      </w:r>
      <w:r>
        <w:rPr>
          <w:rFonts w:hint="eastAsia" w:ascii="仿宋" w:hAnsi="仿宋" w:eastAsia="仿宋" w:cs="仿宋"/>
          <w:color w:val="auto"/>
          <w:kern w:val="0"/>
          <w:sz w:val="28"/>
          <w:szCs w:val="28"/>
          <w:lang w:val="en-US" w:eastAsia="zh-CN"/>
        </w:rPr>
        <w:t>以增价</w:t>
      </w:r>
      <w:r>
        <w:rPr>
          <w:rFonts w:hint="eastAsia" w:ascii="仿宋" w:hAnsi="仿宋" w:eastAsia="仿宋" w:cs="仿宋"/>
          <w:color w:val="auto"/>
          <w:kern w:val="0"/>
          <w:sz w:val="28"/>
          <w:szCs w:val="28"/>
        </w:rPr>
        <w:t>拍卖方式，</w:t>
      </w:r>
      <w:r>
        <w:rPr>
          <w:rFonts w:hint="eastAsia" w:ascii="仿宋" w:hAnsi="仿宋" w:eastAsia="仿宋" w:cs="仿宋"/>
          <w:color w:val="auto"/>
          <w:kern w:val="0"/>
          <w:sz w:val="28"/>
          <w:szCs w:val="28"/>
          <w:lang w:val="en-US" w:eastAsia="zh-CN"/>
        </w:rPr>
        <w:t>价高者得原则。</w:t>
      </w:r>
      <w:r>
        <w:rPr>
          <w:rFonts w:hint="eastAsia" w:ascii="仿宋" w:hAnsi="仿宋" w:eastAsia="仿宋" w:cs="仿宋"/>
          <w:color w:val="auto"/>
          <w:kern w:val="0"/>
          <w:sz w:val="28"/>
          <w:szCs w:val="28"/>
        </w:rPr>
        <w:t>拍卖师可根据现场竞价情况调整</w:t>
      </w:r>
      <w:r>
        <w:rPr>
          <w:rFonts w:hint="eastAsia" w:ascii="仿宋" w:hAnsi="仿宋" w:eastAsia="仿宋" w:cs="仿宋"/>
          <w:color w:val="auto"/>
          <w:kern w:val="0"/>
          <w:sz w:val="28"/>
          <w:szCs w:val="28"/>
          <w:lang w:val="en-US" w:eastAsia="zh-CN"/>
        </w:rPr>
        <w:t>加</w:t>
      </w:r>
      <w:r>
        <w:rPr>
          <w:rFonts w:hint="eastAsia" w:ascii="仿宋" w:hAnsi="仿宋" w:eastAsia="仿宋" w:cs="仿宋"/>
          <w:color w:val="auto"/>
          <w:kern w:val="0"/>
          <w:sz w:val="28"/>
          <w:szCs w:val="28"/>
        </w:rPr>
        <w:t>价</w:t>
      </w:r>
      <w:r>
        <w:rPr>
          <w:rFonts w:hint="eastAsia" w:ascii="仿宋" w:hAnsi="仿宋" w:eastAsia="仿宋" w:cs="仿宋"/>
          <w:color w:val="auto"/>
          <w:kern w:val="0"/>
          <w:sz w:val="28"/>
          <w:szCs w:val="28"/>
          <w:lang w:val="en-US" w:eastAsia="zh-CN"/>
        </w:rPr>
        <w:t>幅度</w:t>
      </w:r>
      <w:r>
        <w:rPr>
          <w:rFonts w:hint="eastAsia" w:ascii="仿宋" w:hAnsi="仿宋" w:eastAsia="仿宋" w:cs="仿宋"/>
          <w:color w:val="auto"/>
          <w:kern w:val="0"/>
          <w:sz w:val="28"/>
          <w:szCs w:val="28"/>
        </w:rPr>
        <w:t>。</w:t>
      </w:r>
    </w:p>
    <w:p w14:paraId="5793A7C7">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乙方的最高应价成为买受人后，应与甲方当场签署《拍卖成交确认书》，拒不签署的，甲方将依据《拍卖法》追索乙方因此给拍卖委托人和甲方造成的经济损失。</w:t>
      </w:r>
    </w:p>
    <w:p w14:paraId="1C1B0B70">
      <w:pPr>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拍卖佣金的支付</w:t>
      </w:r>
    </w:p>
    <w:p w14:paraId="12478D2A">
      <w:pPr>
        <w:keepNext w:val="0"/>
        <w:keepLines w:val="0"/>
        <w:pageBreakBefore w:val="0"/>
        <w:kinsoku/>
        <w:wordWrap/>
        <w:overflowPunct/>
        <w:topLinePunct w:val="0"/>
        <w:autoSpaceDE w:val="0"/>
        <w:autoSpaceDN w:val="0"/>
        <w:bidi w:val="0"/>
        <w:adjustRightInd w:val="0"/>
        <w:spacing w:line="560" w:lineRule="atLeas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经拍卖成交的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买受人按每处尾矿库向拍卖人支付拍卖佣金0.5万元，</w:t>
      </w:r>
      <w:r>
        <w:rPr>
          <w:rFonts w:hint="eastAsia" w:ascii="仿宋" w:hAnsi="仿宋" w:eastAsia="仿宋" w:cs="仿宋"/>
          <w:b/>
          <w:bCs/>
          <w:color w:val="0000FF"/>
          <w:sz w:val="28"/>
          <w:szCs w:val="28"/>
          <w:lang w:val="en-US" w:eastAsia="zh-CN"/>
        </w:rPr>
        <w:t>拍卖佣金合计4万元</w:t>
      </w:r>
      <w:r>
        <w:rPr>
          <w:rFonts w:hint="eastAsia" w:ascii="仿宋" w:hAnsi="仿宋" w:eastAsia="仿宋" w:cs="仿宋"/>
          <w:color w:val="auto"/>
          <w:sz w:val="28"/>
          <w:szCs w:val="28"/>
          <w:lang w:val="en-US" w:eastAsia="zh-CN"/>
        </w:rPr>
        <w:t>。拍卖成交后，买受人交</w:t>
      </w:r>
      <w:r>
        <w:rPr>
          <w:rFonts w:hint="eastAsia" w:ascii="仿宋" w:hAnsi="仿宋" w:eastAsia="仿宋" w:cs="仿宋"/>
          <w:color w:val="auto"/>
          <w:sz w:val="28"/>
          <w:szCs w:val="28"/>
        </w:rPr>
        <w:t>纳的竞买保证金将用于支付拍卖人的拍卖佣金。</w:t>
      </w:r>
    </w:p>
    <w:p w14:paraId="01020964">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甲方和其他竞买人、拍卖委托人不得恶意串通。乙方和其他竞买人、拍卖委托人不得恶意串通。</w:t>
      </w:r>
    </w:p>
    <w:p w14:paraId="4F00DDF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七、违约责任</w:t>
      </w:r>
    </w:p>
    <w:p w14:paraId="04C41301">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1、甲方和其他竞买人、拍卖委托人恶意串通损害乙方利益的，应承担法律责任，并赔偿乙方经济损失。</w:t>
      </w:r>
    </w:p>
    <w:p w14:paraId="3F090884">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2、乙方和其他竞买人、拍卖委托人恶意串通损害甲方利益的，应承担法律责任，并赔偿甲方经济损失。</w:t>
      </w:r>
    </w:p>
    <w:p w14:paraId="5488723D">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八、本协议未尽事宜，由甲、乙双方应通过协商或调解解决；协商或调解不成的，</w:t>
      </w:r>
      <w:r>
        <w:rPr>
          <w:rFonts w:hint="eastAsia" w:ascii="仿宋" w:hAnsi="仿宋" w:eastAsia="仿宋" w:cs="仿宋"/>
          <w:color w:val="auto"/>
          <w:kern w:val="0"/>
          <w:sz w:val="28"/>
          <w:szCs w:val="28"/>
          <w:lang w:val="en-US" w:eastAsia="zh-CN"/>
        </w:rPr>
        <w:t>依法向黄石仲裁委员会提起仲裁</w:t>
      </w:r>
      <w:r>
        <w:rPr>
          <w:rFonts w:hint="eastAsia" w:ascii="仿宋" w:hAnsi="仿宋" w:eastAsia="仿宋" w:cs="仿宋"/>
          <w:color w:val="auto"/>
          <w:kern w:val="0"/>
          <w:sz w:val="28"/>
          <w:szCs w:val="28"/>
        </w:rPr>
        <w:t>。</w:t>
      </w:r>
    </w:p>
    <w:p w14:paraId="568FA53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本协议一式</w:t>
      </w:r>
      <w:r>
        <w:rPr>
          <w:rFonts w:hint="eastAsia" w:ascii="仿宋" w:hAnsi="仿宋" w:eastAsia="仿宋" w:cs="仿宋"/>
          <w:color w:val="auto"/>
          <w:kern w:val="0"/>
          <w:sz w:val="28"/>
          <w:szCs w:val="28"/>
          <w:lang w:val="en-US" w:eastAsia="zh-CN"/>
        </w:rPr>
        <w:t>贰</w:t>
      </w:r>
      <w:r>
        <w:rPr>
          <w:rFonts w:hint="eastAsia" w:ascii="仿宋" w:hAnsi="仿宋" w:eastAsia="仿宋" w:cs="仿宋"/>
          <w:color w:val="auto"/>
          <w:kern w:val="0"/>
          <w:sz w:val="28"/>
          <w:szCs w:val="28"/>
        </w:rPr>
        <w:t>份，自乙方交纳</w:t>
      </w:r>
      <w:r>
        <w:rPr>
          <w:rFonts w:hint="eastAsia" w:ascii="仿宋" w:hAnsi="仿宋" w:eastAsia="仿宋" w:cs="仿宋"/>
          <w:color w:val="auto"/>
          <w:kern w:val="0"/>
          <w:sz w:val="28"/>
          <w:szCs w:val="28"/>
          <w:lang w:eastAsia="zh-CN"/>
        </w:rPr>
        <w:t>竞买保证金</w:t>
      </w:r>
      <w:r>
        <w:rPr>
          <w:rFonts w:hint="eastAsia" w:ascii="仿宋" w:hAnsi="仿宋" w:eastAsia="仿宋" w:cs="仿宋"/>
          <w:color w:val="auto"/>
          <w:kern w:val="0"/>
          <w:sz w:val="28"/>
          <w:szCs w:val="28"/>
        </w:rPr>
        <w:t>且甲、乙双方签字（盖章）后生效。</w:t>
      </w:r>
    </w:p>
    <w:p w14:paraId="518129F8">
      <w:pPr>
        <w:keepNext w:val="0"/>
        <w:keepLines w:val="0"/>
        <w:pageBreakBefore w:val="0"/>
        <w:widowControl w:val="0"/>
        <w:kinsoku/>
        <w:wordWrap/>
        <w:overflowPunct/>
        <w:topLinePunct w:val="0"/>
        <w:autoSpaceDE w:val="0"/>
        <w:autoSpaceDN w:val="0"/>
        <w:bidi w:val="0"/>
        <w:adjustRightInd w:val="0"/>
        <w:snapToGrid/>
        <w:spacing w:line="240" w:lineRule="atLeast"/>
        <w:ind w:firstLine="560" w:firstLineChars="200"/>
        <w:jc w:val="left"/>
        <w:textAlignment w:val="auto"/>
        <w:rPr>
          <w:rFonts w:hint="eastAsia" w:ascii="仿宋" w:hAnsi="仿宋" w:eastAsia="仿宋" w:cs="仿宋"/>
          <w:color w:val="auto"/>
          <w:kern w:val="0"/>
          <w:sz w:val="28"/>
          <w:szCs w:val="28"/>
        </w:rPr>
      </w:pPr>
    </w:p>
    <w:p w14:paraId="6C66BCD6">
      <w:pPr>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甲方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公章</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sz w:val="28"/>
          <w:szCs w:val="28"/>
          <w:lang w:val="en-US" w:eastAsia="zh-CN"/>
        </w:rPr>
        <w:t>乙方（公章）</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 xml:space="preserve">     </w:t>
      </w:r>
    </w:p>
    <w:p w14:paraId="2DFFBFD2">
      <w:pPr>
        <w:keepNext w:val="0"/>
        <w:keepLines w:val="0"/>
        <w:pageBreakBefore w:val="0"/>
        <w:widowControl w:val="0"/>
        <w:kinsoku/>
        <w:wordWrap/>
        <w:overflowPunct/>
        <w:topLinePunct w:val="0"/>
        <w:autoSpaceDE w:val="0"/>
        <w:autoSpaceDN w:val="0"/>
        <w:bidi w:val="0"/>
        <w:adjustRightInd w:val="0"/>
        <w:snapToGrid/>
        <w:spacing w:line="60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 xml:space="preserve">13971765691                </w:t>
      </w:r>
      <w:r>
        <w:rPr>
          <w:rFonts w:hint="eastAsia" w:ascii="仿宋" w:hAnsi="仿宋" w:eastAsia="仿宋" w:cs="仿宋"/>
          <w:color w:val="auto"/>
          <w:sz w:val="28"/>
          <w:szCs w:val="28"/>
        </w:rPr>
        <w:t>联系电话：</w:t>
      </w:r>
    </w:p>
    <w:p w14:paraId="4A62AFA2">
      <w:pPr>
        <w:keepNext w:val="0"/>
        <w:keepLines w:val="0"/>
        <w:pageBreakBefore w:val="0"/>
        <w:widowControl w:val="0"/>
        <w:kinsoku/>
        <w:wordWrap/>
        <w:overflowPunct/>
        <w:topLinePunct w:val="0"/>
        <w:autoSpaceDE w:val="0"/>
        <w:autoSpaceDN w:val="0"/>
        <w:bidi w:val="0"/>
        <w:adjustRightInd w:val="0"/>
        <w:snapToGrid/>
        <w:spacing w:line="600" w:lineRule="exact"/>
        <w:jc w:val="both"/>
        <w:textAlignment w:val="auto"/>
        <w:rPr>
          <w:rFonts w:hint="eastAsia"/>
          <w:sz w:val="28"/>
          <w:szCs w:val="28"/>
        </w:rPr>
      </w:pPr>
      <w:r>
        <w:rPr>
          <w:rFonts w:hint="eastAsia" w:ascii="仿宋" w:hAnsi="仿宋" w:eastAsia="仿宋" w:cs="仿宋"/>
          <w:color w:val="auto"/>
          <w:sz w:val="28"/>
          <w:szCs w:val="28"/>
          <w:lang w:val="en-US" w:eastAsia="zh-CN"/>
        </w:rPr>
        <w:t>签署地点：湖北励勤拍卖有限公司       签署时间：</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年  月  日</w:t>
      </w:r>
    </w:p>
    <w:p w14:paraId="3541F877">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rPr>
      </w:pPr>
    </w:p>
    <w:p w14:paraId="2CE62C69">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rPr>
      </w:pPr>
    </w:p>
    <w:p w14:paraId="35921D53">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rPr>
      </w:pPr>
    </w:p>
    <w:p w14:paraId="2ECE4465">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lang w:eastAsia="zh-CN"/>
        </w:rPr>
      </w:pPr>
    </w:p>
    <w:p w14:paraId="27138DC6">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lang w:eastAsia="zh-CN"/>
        </w:rPr>
      </w:pPr>
    </w:p>
    <w:p w14:paraId="728AA157">
      <w:pPr>
        <w:jc w:val="center"/>
        <w:rPr>
          <w:rFonts w:hint="eastAsia" w:ascii="仿宋" w:hAnsi="仿宋" w:eastAsia="仿宋" w:cs="仿宋"/>
          <w:b/>
          <w:bCs/>
          <w:sz w:val="36"/>
          <w:szCs w:val="36"/>
          <w:u w:val="none"/>
          <w:lang w:val="en-US" w:eastAsia="zh-CN"/>
        </w:rPr>
      </w:pPr>
      <w:r>
        <w:rPr>
          <w:rFonts w:hint="eastAsia" w:ascii="仿宋" w:hAnsi="仿宋" w:eastAsia="仿宋" w:cs="仿宋"/>
          <w:b/>
          <w:bCs/>
          <w:sz w:val="36"/>
          <w:szCs w:val="36"/>
          <w:u w:val="none"/>
          <w:lang w:val="en-US" w:eastAsia="zh-CN"/>
        </w:rPr>
        <w:t>大冶市8处尾矿库固废综合利用处置权</w:t>
      </w:r>
    </w:p>
    <w:p w14:paraId="50C12949">
      <w:pPr>
        <w:jc w:val="center"/>
        <w:rPr>
          <w:rFonts w:hint="eastAsia" w:ascii="仿宋" w:hAnsi="仿宋" w:eastAsia="仿宋" w:cs="仿宋"/>
          <w:b/>
          <w:bCs/>
          <w:sz w:val="36"/>
          <w:szCs w:val="36"/>
          <w:u w:val="none"/>
          <w:lang w:val="en-US" w:eastAsia="zh-CN"/>
        </w:rPr>
      </w:pPr>
      <w:r>
        <w:rPr>
          <w:rFonts w:hint="eastAsia" w:ascii="仿宋" w:hAnsi="仿宋" w:eastAsia="仿宋" w:cs="仿宋"/>
          <w:b/>
          <w:bCs/>
          <w:sz w:val="36"/>
          <w:szCs w:val="36"/>
          <w:u w:val="none"/>
          <w:lang w:val="en-US" w:eastAsia="zh-CN"/>
        </w:rPr>
        <w:t>拍卖标的清单</w:t>
      </w:r>
    </w:p>
    <w:p w14:paraId="1579ECC7">
      <w:pPr>
        <w:jc w:val="both"/>
        <w:rPr>
          <w:rFonts w:hint="eastAsia" w:ascii="仿宋" w:hAnsi="仿宋" w:eastAsia="仿宋" w:cs="仿宋"/>
          <w:b w:val="0"/>
          <w:bCs w:val="0"/>
          <w:sz w:val="32"/>
          <w:szCs w:val="32"/>
          <w:u w:val="none"/>
          <w:lang w:val="en-US" w:eastAsia="zh-CN"/>
        </w:rPr>
      </w:pPr>
      <w:bookmarkStart w:id="0" w:name="_GoBack"/>
      <w:bookmarkEnd w:id="0"/>
    </w:p>
    <w:p w14:paraId="145133E1">
      <w:pPr>
        <w:jc w:val="both"/>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委托人：大冶市自然资源和规划局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3581"/>
        <w:gridCol w:w="1650"/>
        <w:gridCol w:w="1593"/>
        <w:gridCol w:w="1930"/>
      </w:tblGrid>
      <w:tr w14:paraId="3E20F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896" w:type="dxa"/>
            <w:vAlign w:val="center"/>
          </w:tcPr>
          <w:p w14:paraId="718D3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序号</w:t>
            </w:r>
          </w:p>
        </w:tc>
        <w:tc>
          <w:tcPr>
            <w:tcW w:w="3581" w:type="dxa"/>
            <w:vAlign w:val="center"/>
          </w:tcPr>
          <w:p w14:paraId="648508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尾矿库名称</w:t>
            </w:r>
          </w:p>
        </w:tc>
        <w:tc>
          <w:tcPr>
            <w:tcW w:w="1650" w:type="dxa"/>
            <w:vAlign w:val="center"/>
          </w:tcPr>
          <w:p w14:paraId="0A2CA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库容量</w:t>
            </w:r>
          </w:p>
          <w:p w14:paraId="51A12A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（万吨）</w:t>
            </w:r>
          </w:p>
        </w:tc>
        <w:tc>
          <w:tcPr>
            <w:tcW w:w="1593" w:type="dxa"/>
            <w:vAlign w:val="center"/>
          </w:tcPr>
          <w:p w14:paraId="6F7D77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单价</w:t>
            </w:r>
          </w:p>
          <w:p w14:paraId="00046E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（元/吨）</w:t>
            </w:r>
          </w:p>
        </w:tc>
        <w:tc>
          <w:tcPr>
            <w:tcW w:w="1930" w:type="dxa"/>
            <w:vAlign w:val="center"/>
          </w:tcPr>
          <w:p w14:paraId="20F3C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参考价</w:t>
            </w:r>
          </w:p>
          <w:p w14:paraId="18B2AD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（万元）</w:t>
            </w:r>
          </w:p>
        </w:tc>
      </w:tr>
      <w:tr w14:paraId="43837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66006A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1</w:t>
            </w:r>
          </w:p>
        </w:tc>
        <w:tc>
          <w:tcPr>
            <w:tcW w:w="3581" w:type="dxa"/>
            <w:vAlign w:val="center"/>
          </w:tcPr>
          <w:p w14:paraId="3BB93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铜山口尾矿库</w:t>
            </w:r>
          </w:p>
        </w:tc>
        <w:tc>
          <w:tcPr>
            <w:tcW w:w="1650" w:type="dxa"/>
            <w:vAlign w:val="center"/>
          </w:tcPr>
          <w:p w14:paraId="220417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5439.92</w:t>
            </w:r>
          </w:p>
        </w:tc>
        <w:tc>
          <w:tcPr>
            <w:tcW w:w="1593" w:type="dxa"/>
            <w:vAlign w:val="center"/>
          </w:tcPr>
          <w:p w14:paraId="0478FF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6C5F23CB">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13599.8</w:t>
            </w:r>
          </w:p>
        </w:tc>
      </w:tr>
      <w:tr w14:paraId="107E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43142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w:t>
            </w:r>
          </w:p>
        </w:tc>
        <w:tc>
          <w:tcPr>
            <w:tcW w:w="3581" w:type="dxa"/>
            <w:vAlign w:val="center"/>
          </w:tcPr>
          <w:p w14:paraId="4C681A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大冶市天佑矿业有限公司尾矿库</w:t>
            </w:r>
          </w:p>
        </w:tc>
        <w:tc>
          <w:tcPr>
            <w:tcW w:w="1650" w:type="dxa"/>
            <w:vAlign w:val="center"/>
          </w:tcPr>
          <w:p w14:paraId="789444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117.95</w:t>
            </w:r>
          </w:p>
        </w:tc>
        <w:tc>
          <w:tcPr>
            <w:tcW w:w="1593" w:type="dxa"/>
            <w:vAlign w:val="center"/>
          </w:tcPr>
          <w:p w14:paraId="3431FF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66EC3703">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294.9</w:t>
            </w:r>
          </w:p>
        </w:tc>
      </w:tr>
      <w:tr w14:paraId="2373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75739A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3</w:t>
            </w:r>
          </w:p>
        </w:tc>
        <w:tc>
          <w:tcPr>
            <w:tcW w:w="3581" w:type="dxa"/>
            <w:vAlign w:val="center"/>
          </w:tcPr>
          <w:p w14:paraId="10ED7C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大冶市天发工贸有限公司尾矿库</w:t>
            </w:r>
          </w:p>
        </w:tc>
        <w:tc>
          <w:tcPr>
            <w:tcW w:w="1650" w:type="dxa"/>
            <w:vAlign w:val="center"/>
          </w:tcPr>
          <w:p w14:paraId="2C78C6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107.99</w:t>
            </w:r>
          </w:p>
        </w:tc>
        <w:tc>
          <w:tcPr>
            <w:tcW w:w="1593" w:type="dxa"/>
            <w:vAlign w:val="center"/>
          </w:tcPr>
          <w:p w14:paraId="461E35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2F436379">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270.0</w:t>
            </w:r>
          </w:p>
        </w:tc>
      </w:tr>
      <w:tr w14:paraId="5FB0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677CA6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4</w:t>
            </w:r>
          </w:p>
        </w:tc>
        <w:tc>
          <w:tcPr>
            <w:tcW w:w="3581" w:type="dxa"/>
            <w:vAlign w:val="center"/>
          </w:tcPr>
          <w:p w14:paraId="5EBAE7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大冶市云利矿业有限公司尾矿库</w:t>
            </w:r>
          </w:p>
        </w:tc>
        <w:tc>
          <w:tcPr>
            <w:tcW w:w="1650" w:type="dxa"/>
            <w:vAlign w:val="center"/>
          </w:tcPr>
          <w:p w14:paraId="4670D7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72.32</w:t>
            </w:r>
          </w:p>
        </w:tc>
        <w:tc>
          <w:tcPr>
            <w:tcW w:w="1593" w:type="dxa"/>
            <w:vAlign w:val="center"/>
          </w:tcPr>
          <w:p w14:paraId="07EA8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36F0A084">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180.8</w:t>
            </w:r>
          </w:p>
        </w:tc>
      </w:tr>
      <w:tr w14:paraId="0983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164AAB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5</w:t>
            </w:r>
          </w:p>
        </w:tc>
        <w:tc>
          <w:tcPr>
            <w:tcW w:w="3581" w:type="dxa"/>
            <w:vAlign w:val="center"/>
          </w:tcPr>
          <w:p w14:paraId="05BA0F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大冶市凌志矿产品贸易有限公司老尾矿库</w:t>
            </w:r>
          </w:p>
        </w:tc>
        <w:tc>
          <w:tcPr>
            <w:tcW w:w="1650" w:type="dxa"/>
            <w:vAlign w:val="center"/>
          </w:tcPr>
          <w:p w14:paraId="20D68A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9.66</w:t>
            </w:r>
          </w:p>
        </w:tc>
        <w:tc>
          <w:tcPr>
            <w:tcW w:w="1593" w:type="dxa"/>
            <w:vAlign w:val="center"/>
          </w:tcPr>
          <w:p w14:paraId="72C4E1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0A3232D9">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24.2</w:t>
            </w:r>
          </w:p>
        </w:tc>
      </w:tr>
      <w:tr w14:paraId="2768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36A1A8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6</w:t>
            </w:r>
          </w:p>
        </w:tc>
        <w:tc>
          <w:tcPr>
            <w:tcW w:w="3581" w:type="dxa"/>
            <w:vAlign w:val="center"/>
          </w:tcPr>
          <w:p w14:paraId="357A64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大冶市李旺矿产品贸易有限公司尾矿库</w:t>
            </w:r>
          </w:p>
        </w:tc>
        <w:tc>
          <w:tcPr>
            <w:tcW w:w="1650" w:type="dxa"/>
            <w:vAlign w:val="center"/>
          </w:tcPr>
          <w:p w14:paraId="63478D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14.34</w:t>
            </w:r>
          </w:p>
        </w:tc>
        <w:tc>
          <w:tcPr>
            <w:tcW w:w="1593" w:type="dxa"/>
            <w:vAlign w:val="center"/>
          </w:tcPr>
          <w:p w14:paraId="43239A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599A8605">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35.9</w:t>
            </w:r>
          </w:p>
        </w:tc>
      </w:tr>
      <w:tr w14:paraId="066E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1BA179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7</w:t>
            </w:r>
          </w:p>
        </w:tc>
        <w:tc>
          <w:tcPr>
            <w:tcW w:w="3581" w:type="dxa"/>
            <w:vAlign w:val="center"/>
          </w:tcPr>
          <w:p w14:paraId="509F80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大冶市陈贵星源矿产品贸易有限公司尾矿库</w:t>
            </w:r>
          </w:p>
        </w:tc>
        <w:tc>
          <w:tcPr>
            <w:tcW w:w="1650" w:type="dxa"/>
            <w:vAlign w:val="center"/>
          </w:tcPr>
          <w:p w14:paraId="3DC310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14.23</w:t>
            </w:r>
          </w:p>
        </w:tc>
        <w:tc>
          <w:tcPr>
            <w:tcW w:w="1593" w:type="dxa"/>
            <w:vAlign w:val="center"/>
          </w:tcPr>
          <w:p w14:paraId="67EA78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26BBEBE5">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35.6</w:t>
            </w:r>
          </w:p>
        </w:tc>
      </w:tr>
      <w:tr w14:paraId="5B4B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96" w:type="dxa"/>
            <w:vAlign w:val="center"/>
          </w:tcPr>
          <w:p w14:paraId="57B45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8</w:t>
            </w:r>
          </w:p>
        </w:tc>
        <w:tc>
          <w:tcPr>
            <w:tcW w:w="3581" w:type="dxa"/>
            <w:vAlign w:val="center"/>
          </w:tcPr>
          <w:p w14:paraId="7647B7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大冶市袁发矿产品贸易有限公司尾矿库</w:t>
            </w:r>
          </w:p>
        </w:tc>
        <w:tc>
          <w:tcPr>
            <w:tcW w:w="1650" w:type="dxa"/>
            <w:vAlign w:val="center"/>
          </w:tcPr>
          <w:p w14:paraId="199758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60.50</w:t>
            </w:r>
          </w:p>
        </w:tc>
        <w:tc>
          <w:tcPr>
            <w:tcW w:w="1593" w:type="dxa"/>
            <w:vAlign w:val="center"/>
          </w:tcPr>
          <w:p w14:paraId="5030F6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2.5</w:t>
            </w:r>
          </w:p>
        </w:tc>
        <w:tc>
          <w:tcPr>
            <w:tcW w:w="1930" w:type="dxa"/>
            <w:vAlign w:val="center"/>
          </w:tcPr>
          <w:p w14:paraId="7CE6F25D">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151.3</w:t>
            </w:r>
          </w:p>
        </w:tc>
      </w:tr>
      <w:tr w14:paraId="7EC1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4477" w:type="dxa"/>
            <w:gridSpan w:val="2"/>
            <w:vAlign w:val="center"/>
          </w:tcPr>
          <w:p w14:paraId="451919E9">
            <w:pPr>
              <w:jc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合计</w:t>
            </w:r>
          </w:p>
        </w:tc>
        <w:tc>
          <w:tcPr>
            <w:tcW w:w="1650" w:type="dxa"/>
            <w:vAlign w:val="center"/>
          </w:tcPr>
          <w:p w14:paraId="689E3129">
            <w:pPr>
              <w:jc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5836.91</w:t>
            </w:r>
          </w:p>
        </w:tc>
        <w:tc>
          <w:tcPr>
            <w:tcW w:w="1593" w:type="dxa"/>
            <w:vAlign w:val="center"/>
          </w:tcPr>
          <w:p w14:paraId="53E7283A">
            <w:pPr>
              <w:jc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b w:val="0"/>
                <w:bCs w:val="0"/>
                <w:sz w:val="30"/>
                <w:szCs w:val="30"/>
                <w:u w:val="none"/>
                <w:vertAlign w:val="baseline"/>
                <w:lang w:val="en-US" w:eastAsia="zh-CN"/>
              </w:rPr>
              <w:t>--</w:t>
            </w:r>
          </w:p>
        </w:tc>
        <w:tc>
          <w:tcPr>
            <w:tcW w:w="1930" w:type="dxa"/>
            <w:vAlign w:val="center"/>
          </w:tcPr>
          <w:p w14:paraId="46B70604">
            <w:pPr>
              <w:keepNext w:val="0"/>
              <w:keepLines w:val="0"/>
              <w:widowControl/>
              <w:suppressLineNumbers w:val="0"/>
              <w:jc w:val="center"/>
              <w:textAlignment w:val="center"/>
              <w:rPr>
                <w:rFonts w:hint="eastAsia" w:ascii="仿宋" w:hAnsi="仿宋" w:eastAsia="仿宋" w:cs="仿宋"/>
                <w:b w:val="0"/>
                <w:bCs w:val="0"/>
                <w:sz w:val="30"/>
                <w:szCs w:val="30"/>
                <w:u w:val="none"/>
                <w:vertAlign w:val="baseline"/>
                <w:lang w:val="en-US" w:eastAsia="zh-CN"/>
              </w:rPr>
            </w:pPr>
            <w:r>
              <w:rPr>
                <w:rFonts w:hint="eastAsia" w:ascii="仿宋" w:hAnsi="仿宋" w:eastAsia="仿宋" w:cs="仿宋"/>
                <w:i w:val="0"/>
                <w:iCs w:val="0"/>
                <w:color w:val="000000"/>
                <w:kern w:val="0"/>
                <w:sz w:val="30"/>
                <w:szCs w:val="30"/>
                <w:u w:val="none"/>
                <w:lang w:val="en-US" w:eastAsia="zh-CN" w:bidi="ar"/>
              </w:rPr>
              <w:t>14592.3</w:t>
            </w:r>
          </w:p>
        </w:tc>
      </w:tr>
    </w:tbl>
    <w:p w14:paraId="58B8D7C4">
      <w:pPr>
        <w:jc w:val="both"/>
        <w:rPr>
          <w:rFonts w:hint="eastAsia" w:ascii="仿宋" w:hAnsi="仿宋" w:eastAsia="仿宋" w:cs="仿宋"/>
          <w:b w:val="0"/>
          <w:bCs w:val="0"/>
          <w:sz w:val="32"/>
          <w:szCs w:val="32"/>
          <w:u w:val="none"/>
          <w:lang w:val="en-US" w:eastAsia="zh-CN"/>
        </w:rPr>
      </w:pPr>
    </w:p>
    <w:p w14:paraId="39CABACE">
      <w:pPr>
        <w:jc w:val="right"/>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拍卖人：湖北励勤拍卖有限公司</w:t>
      </w:r>
    </w:p>
    <w:p w14:paraId="21029597">
      <w:pPr>
        <w:jc w:val="right"/>
        <w:rPr>
          <w:rFonts w:hint="eastAsia" w:ascii="仿宋" w:hAnsi="仿宋" w:eastAsia="仿宋" w:cs="仿宋"/>
          <w:color w:val="auto"/>
          <w:sz w:val="28"/>
          <w:szCs w:val="28"/>
          <w:lang w:eastAsia="zh-CN"/>
        </w:rPr>
      </w:pPr>
      <w:r>
        <w:rPr>
          <w:rFonts w:hint="eastAsia" w:ascii="仿宋" w:hAnsi="仿宋" w:eastAsia="仿宋" w:cs="仿宋"/>
          <w:b w:val="0"/>
          <w:bCs w:val="0"/>
          <w:sz w:val="32"/>
          <w:szCs w:val="32"/>
          <w:u w:val="none"/>
          <w:lang w:val="en-US" w:eastAsia="zh-CN"/>
        </w:rPr>
        <w:t>2025年9月19日</w:t>
      </w:r>
    </w:p>
    <w:sectPr>
      <w:type w:val="continuous"/>
      <w:pgSz w:w="11906" w:h="16838"/>
      <w:pgMar w:top="1440"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C5F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CF0CD2">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CF0CD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D4E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E9384"/>
    <w:multiLevelType w:val="singleLevel"/>
    <w:tmpl w:val="9E4E9384"/>
    <w:lvl w:ilvl="0" w:tentative="0">
      <w:start w:val="1"/>
      <w:numFmt w:val="decimal"/>
      <w:suff w:val="nothing"/>
      <w:lvlText w:val="%1、"/>
      <w:lvlJc w:val="left"/>
    </w:lvl>
  </w:abstractNum>
  <w:abstractNum w:abstractNumId="1">
    <w:nsid w:val="0516DE34"/>
    <w:multiLevelType w:val="singleLevel"/>
    <w:tmpl w:val="0516DE34"/>
    <w:lvl w:ilvl="0" w:tentative="0">
      <w:start w:val="5"/>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ZTIwYzRmOGQ0ZGQ5OTQ4ZjQ3MDVlZDVkMTI0YWMifQ=="/>
    <w:docVar w:name="KSO_WPS_MARK_KEY" w:val="821525c0-59f8-45da-803f-ef4f9a5b5fce"/>
  </w:docVars>
  <w:rsids>
    <w:rsidRoot w:val="00D92BB5"/>
    <w:rsid w:val="00063E06"/>
    <w:rsid w:val="000F7085"/>
    <w:rsid w:val="00127AFF"/>
    <w:rsid w:val="00194AE2"/>
    <w:rsid w:val="001D3589"/>
    <w:rsid w:val="001D6B03"/>
    <w:rsid w:val="00223800"/>
    <w:rsid w:val="00267CD6"/>
    <w:rsid w:val="00292BA5"/>
    <w:rsid w:val="002D42A9"/>
    <w:rsid w:val="00316248"/>
    <w:rsid w:val="00367AA0"/>
    <w:rsid w:val="003A0915"/>
    <w:rsid w:val="003B4AA3"/>
    <w:rsid w:val="00425BFB"/>
    <w:rsid w:val="00451FA2"/>
    <w:rsid w:val="0047049A"/>
    <w:rsid w:val="004C58C5"/>
    <w:rsid w:val="00500C96"/>
    <w:rsid w:val="00515C67"/>
    <w:rsid w:val="0053537E"/>
    <w:rsid w:val="00560A08"/>
    <w:rsid w:val="005A6104"/>
    <w:rsid w:val="005C2DD2"/>
    <w:rsid w:val="005C6ADC"/>
    <w:rsid w:val="00620447"/>
    <w:rsid w:val="00652914"/>
    <w:rsid w:val="006A2769"/>
    <w:rsid w:val="007A5A99"/>
    <w:rsid w:val="007C3F15"/>
    <w:rsid w:val="00801FAD"/>
    <w:rsid w:val="008D08AB"/>
    <w:rsid w:val="008E0403"/>
    <w:rsid w:val="00956AD9"/>
    <w:rsid w:val="009940AC"/>
    <w:rsid w:val="00A05083"/>
    <w:rsid w:val="00A67962"/>
    <w:rsid w:val="00AC4062"/>
    <w:rsid w:val="00B673CF"/>
    <w:rsid w:val="00B77968"/>
    <w:rsid w:val="00B94393"/>
    <w:rsid w:val="00BF18F6"/>
    <w:rsid w:val="00BF61F3"/>
    <w:rsid w:val="00C40BD4"/>
    <w:rsid w:val="00CE33A1"/>
    <w:rsid w:val="00D91D1A"/>
    <w:rsid w:val="00D92BB5"/>
    <w:rsid w:val="00DD4D18"/>
    <w:rsid w:val="00E355B8"/>
    <w:rsid w:val="00E72820"/>
    <w:rsid w:val="00EB29A2"/>
    <w:rsid w:val="00EC6F0D"/>
    <w:rsid w:val="00EE3FB3"/>
    <w:rsid w:val="00EF505C"/>
    <w:rsid w:val="00F44F67"/>
    <w:rsid w:val="00F66B71"/>
    <w:rsid w:val="00FB557F"/>
    <w:rsid w:val="00FD5DC3"/>
    <w:rsid w:val="00FE078D"/>
    <w:rsid w:val="00FF1090"/>
    <w:rsid w:val="0136732D"/>
    <w:rsid w:val="01977206"/>
    <w:rsid w:val="02497534"/>
    <w:rsid w:val="027D0F8C"/>
    <w:rsid w:val="028916DF"/>
    <w:rsid w:val="028E13EB"/>
    <w:rsid w:val="02F94AB6"/>
    <w:rsid w:val="0374413D"/>
    <w:rsid w:val="03830824"/>
    <w:rsid w:val="03887BE8"/>
    <w:rsid w:val="03C70711"/>
    <w:rsid w:val="03E149EF"/>
    <w:rsid w:val="04896C61"/>
    <w:rsid w:val="05455D51"/>
    <w:rsid w:val="059E7B97"/>
    <w:rsid w:val="05A0746B"/>
    <w:rsid w:val="05A14F91"/>
    <w:rsid w:val="05AE1DFB"/>
    <w:rsid w:val="05C50C80"/>
    <w:rsid w:val="05C60716"/>
    <w:rsid w:val="0680729D"/>
    <w:rsid w:val="06C947A0"/>
    <w:rsid w:val="06CE625A"/>
    <w:rsid w:val="073B0BC6"/>
    <w:rsid w:val="080041F1"/>
    <w:rsid w:val="082500FC"/>
    <w:rsid w:val="082A5712"/>
    <w:rsid w:val="084A7B62"/>
    <w:rsid w:val="089F1C5C"/>
    <w:rsid w:val="08C96CD9"/>
    <w:rsid w:val="08CA6B68"/>
    <w:rsid w:val="08EB4EA1"/>
    <w:rsid w:val="097A7FD3"/>
    <w:rsid w:val="09B96D4E"/>
    <w:rsid w:val="0A541EFC"/>
    <w:rsid w:val="0A560A40"/>
    <w:rsid w:val="0A762E91"/>
    <w:rsid w:val="0A7B4D3A"/>
    <w:rsid w:val="0B00275A"/>
    <w:rsid w:val="0B04224A"/>
    <w:rsid w:val="0B0F299D"/>
    <w:rsid w:val="0B640F3B"/>
    <w:rsid w:val="0BB04180"/>
    <w:rsid w:val="0BB169B9"/>
    <w:rsid w:val="0BD62259"/>
    <w:rsid w:val="0C6F1C8F"/>
    <w:rsid w:val="0CA041F5"/>
    <w:rsid w:val="0D2A01E0"/>
    <w:rsid w:val="0DE545B5"/>
    <w:rsid w:val="0E4B0190"/>
    <w:rsid w:val="0E867262"/>
    <w:rsid w:val="0EEC3721"/>
    <w:rsid w:val="0F16254C"/>
    <w:rsid w:val="0F96368D"/>
    <w:rsid w:val="0FA62207"/>
    <w:rsid w:val="0FCE2E27"/>
    <w:rsid w:val="109E0A4B"/>
    <w:rsid w:val="110C12EC"/>
    <w:rsid w:val="11553800"/>
    <w:rsid w:val="11A227BD"/>
    <w:rsid w:val="1249206A"/>
    <w:rsid w:val="12726DDA"/>
    <w:rsid w:val="12AB56A1"/>
    <w:rsid w:val="12C34799"/>
    <w:rsid w:val="1335205C"/>
    <w:rsid w:val="13685340"/>
    <w:rsid w:val="139A7BF0"/>
    <w:rsid w:val="140A08FA"/>
    <w:rsid w:val="14CA0061"/>
    <w:rsid w:val="14F72E20"/>
    <w:rsid w:val="15267261"/>
    <w:rsid w:val="159468C1"/>
    <w:rsid w:val="15A05433"/>
    <w:rsid w:val="15C01464"/>
    <w:rsid w:val="15E96C0C"/>
    <w:rsid w:val="16467BBB"/>
    <w:rsid w:val="16F33D86"/>
    <w:rsid w:val="17017F86"/>
    <w:rsid w:val="1729697A"/>
    <w:rsid w:val="1772678E"/>
    <w:rsid w:val="17A032FB"/>
    <w:rsid w:val="18500F93"/>
    <w:rsid w:val="18586480"/>
    <w:rsid w:val="186E51A7"/>
    <w:rsid w:val="18B2778A"/>
    <w:rsid w:val="18FF04F5"/>
    <w:rsid w:val="19120228"/>
    <w:rsid w:val="197A1F0C"/>
    <w:rsid w:val="1A2975D8"/>
    <w:rsid w:val="1A5F749D"/>
    <w:rsid w:val="1A684C90"/>
    <w:rsid w:val="1A976C37"/>
    <w:rsid w:val="1AA650CC"/>
    <w:rsid w:val="1AB71087"/>
    <w:rsid w:val="1B255CA6"/>
    <w:rsid w:val="1B8A054A"/>
    <w:rsid w:val="1BED0AD9"/>
    <w:rsid w:val="1C0F0A4F"/>
    <w:rsid w:val="1C840DD2"/>
    <w:rsid w:val="1C844F99"/>
    <w:rsid w:val="1CEB5018"/>
    <w:rsid w:val="1CEC12BA"/>
    <w:rsid w:val="1D0640F7"/>
    <w:rsid w:val="1D8B2357"/>
    <w:rsid w:val="1DAF1399"/>
    <w:rsid w:val="1DB775F0"/>
    <w:rsid w:val="1E1467F1"/>
    <w:rsid w:val="1E2A1B70"/>
    <w:rsid w:val="1E4A1EED"/>
    <w:rsid w:val="1E924D97"/>
    <w:rsid w:val="1F3C5FFF"/>
    <w:rsid w:val="1F5E41C7"/>
    <w:rsid w:val="1FA6791C"/>
    <w:rsid w:val="1FAD0CAB"/>
    <w:rsid w:val="1FC658C9"/>
    <w:rsid w:val="20176124"/>
    <w:rsid w:val="2031368A"/>
    <w:rsid w:val="206A094A"/>
    <w:rsid w:val="208F6602"/>
    <w:rsid w:val="20EB7700"/>
    <w:rsid w:val="20F80209"/>
    <w:rsid w:val="21353CDB"/>
    <w:rsid w:val="21894E00"/>
    <w:rsid w:val="21FC0767"/>
    <w:rsid w:val="22056B7C"/>
    <w:rsid w:val="22145011"/>
    <w:rsid w:val="226F30E0"/>
    <w:rsid w:val="231177A3"/>
    <w:rsid w:val="233174FD"/>
    <w:rsid w:val="23533917"/>
    <w:rsid w:val="238B4600"/>
    <w:rsid w:val="23A7657A"/>
    <w:rsid w:val="23BA3996"/>
    <w:rsid w:val="23EA427B"/>
    <w:rsid w:val="243954AE"/>
    <w:rsid w:val="24A501A2"/>
    <w:rsid w:val="24E32A79"/>
    <w:rsid w:val="25453E86"/>
    <w:rsid w:val="255676EF"/>
    <w:rsid w:val="2561056D"/>
    <w:rsid w:val="25A77F4A"/>
    <w:rsid w:val="260B2287"/>
    <w:rsid w:val="26123616"/>
    <w:rsid w:val="262B2929"/>
    <w:rsid w:val="264208E0"/>
    <w:rsid w:val="265C2AE3"/>
    <w:rsid w:val="2705317A"/>
    <w:rsid w:val="27677991"/>
    <w:rsid w:val="27912C60"/>
    <w:rsid w:val="27930786"/>
    <w:rsid w:val="27E2170E"/>
    <w:rsid w:val="28A90122"/>
    <w:rsid w:val="28F97235"/>
    <w:rsid w:val="291476A5"/>
    <w:rsid w:val="294C32E2"/>
    <w:rsid w:val="296F0D7F"/>
    <w:rsid w:val="29820AB2"/>
    <w:rsid w:val="29F04FFF"/>
    <w:rsid w:val="2A1A6F3D"/>
    <w:rsid w:val="2A1B4A63"/>
    <w:rsid w:val="2A353D77"/>
    <w:rsid w:val="2A693A20"/>
    <w:rsid w:val="2A7B2B0B"/>
    <w:rsid w:val="2AA50EFC"/>
    <w:rsid w:val="2BCC4267"/>
    <w:rsid w:val="2BFF63EA"/>
    <w:rsid w:val="2C0954BB"/>
    <w:rsid w:val="2C3A1B18"/>
    <w:rsid w:val="2CB5437C"/>
    <w:rsid w:val="2CBF784F"/>
    <w:rsid w:val="2D2325AC"/>
    <w:rsid w:val="2D285E15"/>
    <w:rsid w:val="2D654973"/>
    <w:rsid w:val="2D7D7F0E"/>
    <w:rsid w:val="2DAA4A7C"/>
    <w:rsid w:val="2DC86CB0"/>
    <w:rsid w:val="2DD83397"/>
    <w:rsid w:val="2DF67CC1"/>
    <w:rsid w:val="2E583485"/>
    <w:rsid w:val="2EDD678B"/>
    <w:rsid w:val="2FBE65BC"/>
    <w:rsid w:val="306C6942"/>
    <w:rsid w:val="309C653D"/>
    <w:rsid w:val="30AC28B9"/>
    <w:rsid w:val="30F54260"/>
    <w:rsid w:val="30FF646E"/>
    <w:rsid w:val="318B1C70"/>
    <w:rsid w:val="319728AC"/>
    <w:rsid w:val="31D67BED"/>
    <w:rsid w:val="31F45AF0"/>
    <w:rsid w:val="3239017C"/>
    <w:rsid w:val="326F3B9E"/>
    <w:rsid w:val="32AE46C6"/>
    <w:rsid w:val="32FD564D"/>
    <w:rsid w:val="33694A91"/>
    <w:rsid w:val="33AF020C"/>
    <w:rsid w:val="33E807EA"/>
    <w:rsid w:val="33EC194A"/>
    <w:rsid w:val="33F2372F"/>
    <w:rsid w:val="33F35402"/>
    <w:rsid w:val="33F56325"/>
    <w:rsid w:val="344C4197"/>
    <w:rsid w:val="34FA1E45"/>
    <w:rsid w:val="351F7AFD"/>
    <w:rsid w:val="35303AB8"/>
    <w:rsid w:val="35CF32D1"/>
    <w:rsid w:val="35E13004"/>
    <w:rsid w:val="363650FE"/>
    <w:rsid w:val="37CA01F4"/>
    <w:rsid w:val="37D22C05"/>
    <w:rsid w:val="37F73375"/>
    <w:rsid w:val="380D00E1"/>
    <w:rsid w:val="3848736B"/>
    <w:rsid w:val="395F496C"/>
    <w:rsid w:val="39A46823"/>
    <w:rsid w:val="39ED69A2"/>
    <w:rsid w:val="39F50E2C"/>
    <w:rsid w:val="3A286643"/>
    <w:rsid w:val="3A63223A"/>
    <w:rsid w:val="3A8328DC"/>
    <w:rsid w:val="3A9E14C4"/>
    <w:rsid w:val="3B003F2D"/>
    <w:rsid w:val="3B0752BB"/>
    <w:rsid w:val="3C073099"/>
    <w:rsid w:val="3C0D6901"/>
    <w:rsid w:val="3C195A73"/>
    <w:rsid w:val="3C1A2DCC"/>
    <w:rsid w:val="3C1D006C"/>
    <w:rsid w:val="3C430575"/>
    <w:rsid w:val="3C7C5835"/>
    <w:rsid w:val="3D1176AC"/>
    <w:rsid w:val="3D592923"/>
    <w:rsid w:val="3D711112"/>
    <w:rsid w:val="3DC254CA"/>
    <w:rsid w:val="3DC72AE0"/>
    <w:rsid w:val="3DCC5AE3"/>
    <w:rsid w:val="3E0755D2"/>
    <w:rsid w:val="3E3A1504"/>
    <w:rsid w:val="3E4B54BF"/>
    <w:rsid w:val="3E4D1237"/>
    <w:rsid w:val="3E6242C9"/>
    <w:rsid w:val="3EA03A5D"/>
    <w:rsid w:val="3EFE69D5"/>
    <w:rsid w:val="3F1F5E15"/>
    <w:rsid w:val="3F446DCB"/>
    <w:rsid w:val="3F6F1681"/>
    <w:rsid w:val="3FEC4A80"/>
    <w:rsid w:val="40827192"/>
    <w:rsid w:val="40A35A86"/>
    <w:rsid w:val="40C81049"/>
    <w:rsid w:val="40F736DC"/>
    <w:rsid w:val="40FE2B4E"/>
    <w:rsid w:val="41676AB4"/>
    <w:rsid w:val="41F40477"/>
    <w:rsid w:val="42206C63"/>
    <w:rsid w:val="424010B3"/>
    <w:rsid w:val="425863FC"/>
    <w:rsid w:val="428B0CF2"/>
    <w:rsid w:val="42EA174A"/>
    <w:rsid w:val="42F51E9D"/>
    <w:rsid w:val="4301082E"/>
    <w:rsid w:val="43370708"/>
    <w:rsid w:val="44504584"/>
    <w:rsid w:val="44580936"/>
    <w:rsid w:val="447137A5"/>
    <w:rsid w:val="44BA339E"/>
    <w:rsid w:val="44FB7DF7"/>
    <w:rsid w:val="45102FBE"/>
    <w:rsid w:val="452D591E"/>
    <w:rsid w:val="45BF763D"/>
    <w:rsid w:val="45F36B68"/>
    <w:rsid w:val="464A2500"/>
    <w:rsid w:val="465D0485"/>
    <w:rsid w:val="46805F22"/>
    <w:rsid w:val="46D149CF"/>
    <w:rsid w:val="46D30747"/>
    <w:rsid w:val="475C24EB"/>
    <w:rsid w:val="47FE35A2"/>
    <w:rsid w:val="47FE7A46"/>
    <w:rsid w:val="497D499A"/>
    <w:rsid w:val="49D24CE6"/>
    <w:rsid w:val="49D56585"/>
    <w:rsid w:val="4A1E617D"/>
    <w:rsid w:val="4A275032"/>
    <w:rsid w:val="4A2A4B22"/>
    <w:rsid w:val="4A995804"/>
    <w:rsid w:val="4A9A76C2"/>
    <w:rsid w:val="4AAA5C63"/>
    <w:rsid w:val="4AAC6CD8"/>
    <w:rsid w:val="4B685902"/>
    <w:rsid w:val="4BA33FBA"/>
    <w:rsid w:val="4C107D48"/>
    <w:rsid w:val="4C561BFF"/>
    <w:rsid w:val="4D30345B"/>
    <w:rsid w:val="4D3D2DBF"/>
    <w:rsid w:val="4D467EC5"/>
    <w:rsid w:val="4D622825"/>
    <w:rsid w:val="4D8602C2"/>
    <w:rsid w:val="4D986247"/>
    <w:rsid w:val="4DC52D87"/>
    <w:rsid w:val="4DC94652"/>
    <w:rsid w:val="4DDE00FE"/>
    <w:rsid w:val="4DF94F37"/>
    <w:rsid w:val="4E067654"/>
    <w:rsid w:val="4ECB44BE"/>
    <w:rsid w:val="4F57110D"/>
    <w:rsid w:val="502D0EC8"/>
    <w:rsid w:val="5099655E"/>
    <w:rsid w:val="513B7615"/>
    <w:rsid w:val="51A21442"/>
    <w:rsid w:val="52386451"/>
    <w:rsid w:val="527252B8"/>
    <w:rsid w:val="52DC6BD6"/>
    <w:rsid w:val="52E943E2"/>
    <w:rsid w:val="5334431C"/>
    <w:rsid w:val="54624EB9"/>
    <w:rsid w:val="546B6463"/>
    <w:rsid w:val="54890697"/>
    <w:rsid w:val="55BE4337"/>
    <w:rsid w:val="563D5BDD"/>
    <w:rsid w:val="56A31EE4"/>
    <w:rsid w:val="56E7203F"/>
    <w:rsid w:val="57E04A72"/>
    <w:rsid w:val="585835BC"/>
    <w:rsid w:val="58DA7713"/>
    <w:rsid w:val="5919023C"/>
    <w:rsid w:val="59A201B2"/>
    <w:rsid w:val="59BD32BD"/>
    <w:rsid w:val="59EA3441"/>
    <w:rsid w:val="5A405C9C"/>
    <w:rsid w:val="5A7122F9"/>
    <w:rsid w:val="5A7140A7"/>
    <w:rsid w:val="5AD07020"/>
    <w:rsid w:val="5AE77FE6"/>
    <w:rsid w:val="5B8C73EB"/>
    <w:rsid w:val="5B962018"/>
    <w:rsid w:val="5BE554CC"/>
    <w:rsid w:val="5C7D6D34"/>
    <w:rsid w:val="5CB35465"/>
    <w:rsid w:val="5CF35248"/>
    <w:rsid w:val="5D131446"/>
    <w:rsid w:val="5D1B1028"/>
    <w:rsid w:val="5D2418A5"/>
    <w:rsid w:val="5D7F6ADB"/>
    <w:rsid w:val="5D8714F7"/>
    <w:rsid w:val="5DEC23C3"/>
    <w:rsid w:val="5EFA466C"/>
    <w:rsid w:val="5F3062DF"/>
    <w:rsid w:val="5F4B4EC7"/>
    <w:rsid w:val="5F6660E8"/>
    <w:rsid w:val="5F67218E"/>
    <w:rsid w:val="5FAE5456"/>
    <w:rsid w:val="5FFB4B3F"/>
    <w:rsid w:val="5FFE63DD"/>
    <w:rsid w:val="60002155"/>
    <w:rsid w:val="60327E35"/>
    <w:rsid w:val="6042451C"/>
    <w:rsid w:val="604F09E7"/>
    <w:rsid w:val="60AC0D1D"/>
    <w:rsid w:val="60B3541A"/>
    <w:rsid w:val="61534507"/>
    <w:rsid w:val="616109D2"/>
    <w:rsid w:val="61B054B5"/>
    <w:rsid w:val="61BF60C3"/>
    <w:rsid w:val="61E33ADD"/>
    <w:rsid w:val="620F2439"/>
    <w:rsid w:val="62720E02"/>
    <w:rsid w:val="628232F6"/>
    <w:rsid w:val="62C70D09"/>
    <w:rsid w:val="62CC27C3"/>
    <w:rsid w:val="639B4610"/>
    <w:rsid w:val="64410F8F"/>
    <w:rsid w:val="65006D48"/>
    <w:rsid w:val="650A6582"/>
    <w:rsid w:val="658244D5"/>
    <w:rsid w:val="65974860"/>
    <w:rsid w:val="667C0FCE"/>
    <w:rsid w:val="67816B8F"/>
    <w:rsid w:val="678278F4"/>
    <w:rsid w:val="681C1AF7"/>
    <w:rsid w:val="686F60CA"/>
    <w:rsid w:val="68757225"/>
    <w:rsid w:val="687B3323"/>
    <w:rsid w:val="688B0A2A"/>
    <w:rsid w:val="68AE4B28"/>
    <w:rsid w:val="68EC771B"/>
    <w:rsid w:val="68F22857"/>
    <w:rsid w:val="690C3919"/>
    <w:rsid w:val="6948572B"/>
    <w:rsid w:val="69F06D97"/>
    <w:rsid w:val="69FA2BAE"/>
    <w:rsid w:val="6A154A4F"/>
    <w:rsid w:val="6AC124E1"/>
    <w:rsid w:val="6ADF0BB9"/>
    <w:rsid w:val="6B250CC2"/>
    <w:rsid w:val="6CA976D1"/>
    <w:rsid w:val="6D047801"/>
    <w:rsid w:val="6DA926D7"/>
    <w:rsid w:val="6DD8026E"/>
    <w:rsid w:val="6E096679"/>
    <w:rsid w:val="6F307C36"/>
    <w:rsid w:val="6FB46AB9"/>
    <w:rsid w:val="6FCF744E"/>
    <w:rsid w:val="7027728A"/>
    <w:rsid w:val="70454FC3"/>
    <w:rsid w:val="70904617"/>
    <w:rsid w:val="70FF5B11"/>
    <w:rsid w:val="718E0A8A"/>
    <w:rsid w:val="71A53407"/>
    <w:rsid w:val="71F633B8"/>
    <w:rsid w:val="721970A7"/>
    <w:rsid w:val="728F3428"/>
    <w:rsid w:val="73041B05"/>
    <w:rsid w:val="738F2E51"/>
    <w:rsid w:val="73B47F3C"/>
    <w:rsid w:val="73B77E5F"/>
    <w:rsid w:val="73C70629"/>
    <w:rsid w:val="743D707D"/>
    <w:rsid w:val="744A3547"/>
    <w:rsid w:val="74DF6723"/>
    <w:rsid w:val="74E219D2"/>
    <w:rsid w:val="74F31E31"/>
    <w:rsid w:val="751853F4"/>
    <w:rsid w:val="75524DAA"/>
    <w:rsid w:val="75575F1C"/>
    <w:rsid w:val="75996DC0"/>
    <w:rsid w:val="769136B0"/>
    <w:rsid w:val="76A72ED3"/>
    <w:rsid w:val="76F04E3C"/>
    <w:rsid w:val="77204A34"/>
    <w:rsid w:val="774150D6"/>
    <w:rsid w:val="77446974"/>
    <w:rsid w:val="776963DA"/>
    <w:rsid w:val="77A43034"/>
    <w:rsid w:val="781A6FFF"/>
    <w:rsid w:val="781D00C9"/>
    <w:rsid w:val="78801C2E"/>
    <w:rsid w:val="79425135"/>
    <w:rsid w:val="79A4194C"/>
    <w:rsid w:val="79A731EA"/>
    <w:rsid w:val="79C454F9"/>
    <w:rsid w:val="79F71A7C"/>
    <w:rsid w:val="79FE72AE"/>
    <w:rsid w:val="7A2B7977"/>
    <w:rsid w:val="7A560E98"/>
    <w:rsid w:val="7AAD2A82"/>
    <w:rsid w:val="7B203254"/>
    <w:rsid w:val="7B3867F0"/>
    <w:rsid w:val="7BAB6FC2"/>
    <w:rsid w:val="7CA7604C"/>
    <w:rsid w:val="7CD12A58"/>
    <w:rsid w:val="7CF53B0E"/>
    <w:rsid w:val="7D4E40A8"/>
    <w:rsid w:val="7D592A4D"/>
    <w:rsid w:val="7D6C452F"/>
    <w:rsid w:val="7D8F646F"/>
    <w:rsid w:val="7E494870"/>
    <w:rsid w:val="7E4B683A"/>
    <w:rsid w:val="7E7F4735"/>
    <w:rsid w:val="7ED92098"/>
    <w:rsid w:val="7F370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7"/>
    <w:autoRedefine/>
    <w:unhideWhenUsed/>
    <w:qFormat/>
    <w:uiPriority w:val="99"/>
    <w:pPr>
      <w:spacing w:after="120"/>
    </w:pPr>
  </w:style>
  <w:style w:type="paragraph" w:styleId="4">
    <w:name w:val="Balloon Text"/>
    <w:basedOn w:val="1"/>
    <w:link w:val="19"/>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w:basedOn w:val="3"/>
    <w:link w:val="18"/>
    <w:autoRedefine/>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字"/>
    <w:basedOn w:val="3"/>
    <w:autoRedefine/>
    <w:qFormat/>
    <w:uiPriority w:val="99"/>
    <w:pPr>
      <w:ind w:firstLine="200"/>
    </w:pPr>
    <w:rPr>
      <w:rFonts w:ascii="仿宋_GB2312" w:eastAsia="仿宋_GB2312" w:cs="仿宋_GB2312"/>
    </w:rPr>
  </w:style>
  <w:style w:type="character" w:customStyle="1" w:styleId="13">
    <w:name w:val="页眉 Char"/>
    <w:basedOn w:val="11"/>
    <w:link w:val="6"/>
    <w:autoRedefine/>
    <w:qFormat/>
    <w:uiPriority w:val="99"/>
    <w:rPr>
      <w:sz w:val="18"/>
      <w:szCs w:val="18"/>
    </w:rPr>
  </w:style>
  <w:style w:type="character" w:customStyle="1" w:styleId="14">
    <w:name w:val="页脚 Char"/>
    <w:basedOn w:val="11"/>
    <w:link w:val="5"/>
    <w:autoRedefine/>
    <w:semiHidden/>
    <w:qFormat/>
    <w:uiPriority w:val="99"/>
    <w:rPr>
      <w:sz w:val="18"/>
      <w:szCs w:val="18"/>
    </w:rPr>
  </w:style>
  <w:style w:type="character" w:customStyle="1" w:styleId="15">
    <w:name w:val="要点1"/>
    <w:basedOn w:val="11"/>
    <w:autoRedefine/>
    <w:qFormat/>
    <w:uiPriority w:val="0"/>
    <w:rPr>
      <w:rFonts w:ascii="Calibri" w:hAnsi="Calibri"/>
      <w:kern w:val="2"/>
      <w:sz w:val="21"/>
      <w:szCs w:val="24"/>
      <w:lang w:val="en-US" w:eastAsia="zh-CN" w:bidi="ar-SA"/>
    </w:rPr>
  </w:style>
  <w:style w:type="paragraph" w:customStyle="1" w:styleId="16">
    <w:name w:val="普通(网站)1"/>
    <w:basedOn w:val="1"/>
    <w:autoRedefine/>
    <w:qFormat/>
    <w:uiPriority w:val="0"/>
    <w:pPr>
      <w:spacing w:before="100" w:beforeAutospacing="1" w:after="100" w:afterAutospacing="1"/>
      <w:jc w:val="left"/>
    </w:pPr>
    <w:rPr>
      <w:kern w:val="0"/>
      <w:sz w:val="24"/>
    </w:rPr>
  </w:style>
  <w:style w:type="character" w:customStyle="1" w:styleId="17">
    <w:name w:val="正文文本 Char"/>
    <w:basedOn w:val="11"/>
    <w:link w:val="3"/>
    <w:autoRedefine/>
    <w:semiHidden/>
    <w:qFormat/>
    <w:uiPriority w:val="99"/>
    <w:rPr>
      <w:rFonts w:ascii="Calibri" w:hAnsi="Calibri" w:eastAsia="宋体" w:cs="Times New Roman"/>
      <w:szCs w:val="24"/>
    </w:rPr>
  </w:style>
  <w:style w:type="character" w:customStyle="1" w:styleId="18">
    <w:name w:val="正文首行缩进 Char"/>
    <w:basedOn w:val="17"/>
    <w:link w:val="8"/>
    <w:autoRedefine/>
    <w:semiHidden/>
    <w:qFormat/>
    <w:uiPriority w:val="99"/>
    <w:rPr>
      <w:rFonts w:ascii="Calibri" w:hAnsi="Calibri" w:eastAsia="宋体" w:cs="Times New Roman"/>
      <w:szCs w:val="24"/>
    </w:rPr>
  </w:style>
  <w:style w:type="character" w:customStyle="1" w:styleId="19">
    <w:name w:val="批注框文本 Char"/>
    <w:basedOn w:val="11"/>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18</Pages>
  <Words>4628</Words>
  <Characters>4765</Characters>
  <Lines>38</Lines>
  <Paragraphs>10</Paragraphs>
  <TotalTime>24</TotalTime>
  <ScaleCrop>false</ScaleCrop>
  <LinksUpToDate>false</LinksUpToDate>
  <CharactersWithSpaces>4993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2023-02-13T08:21:00Z</dcterms:created>
  <dc:creator>桑三博客</dc:creator>
  <cp:lastModifiedBy>寇</cp:lastModifiedBy>
  <cp:lastPrinted>2025-09-19T00:43:32Z</cp:lastPrinted>
  <dcterms:modified xsi:type="dcterms:W3CDTF">2025-09-19T00:46:08Z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44B97377E87F4D17955B7674BD6A7C57_13</vt:lpwstr>
  </property>
  <property fmtid="{D5CDD505-2E9C-101B-9397-08002B2CF9AE}" pid="4" name="KSOTemplateDocerSaveRecord">
    <vt:lpwstr>eyJoZGlkIjoiN2Q2NTJkY2UzMDMxOTMwYWJiYmMwMTNmODE2ZjFmNDkiLCJ1c2VySWQiOiIxMDE5OTgyNDM1In0=</vt:lpwstr>
  </property>
</Properties>
</file>