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sans-serif" w:hAnsi="sans-serif" w:eastAsia="sans-serif" w:cs="sans-serif"/>
          <w:b/>
          <w:bCs/>
          <w:i w:val="0"/>
          <w:iCs w:val="0"/>
          <w:caps w:val="0"/>
          <w:color w:val="333333"/>
          <w:spacing w:val="0"/>
          <w:kern w:val="0"/>
          <w:sz w:val="30"/>
          <w:szCs w:val="30"/>
          <w:shd w:val="clear" w:fill="FFFFFF"/>
          <w:lang w:val="en-US" w:eastAsia="zh-CN" w:bidi="ar"/>
        </w:rPr>
        <w:t>关于大冶市学校后勤保障服务中心2026年大冶市第二中学改扩建食堂厨房设备采购项目更正公告</w:t>
      </w:r>
    </w:p>
    <w:p>
      <w:pPr>
        <w:pStyle w:val="7"/>
        <w:keepNext w:val="0"/>
        <w:keepLines w:val="0"/>
        <w:widowControl/>
        <w:suppressLineNumbers w:val="0"/>
        <w:shd w:val="clear" w:fill="FFFFFF"/>
        <w:spacing w:before="0" w:beforeAutospacing="1" w:after="0" w:afterAutospacing="1" w:line="520" w:lineRule="exact"/>
        <w:ind w:left="0" w:right="0" w:firstLine="562" w:firstLineChars="200"/>
        <w:jc w:val="both"/>
        <w:rPr>
          <w:rFonts w:hint="eastAsia" w:ascii="宋体" w:hAnsi="宋体" w:eastAsia="宋体" w:cs="宋体"/>
          <w:b/>
          <w:bCs/>
          <w:kern w:val="0"/>
          <w:sz w:val="28"/>
          <w:szCs w:val="28"/>
          <w:shd w:val="clear" w:fill="FFFFFF"/>
        </w:rPr>
      </w:pPr>
      <w:r>
        <w:rPr>
          <w:rFonts w:hint="eastAsia" w:ascii="宋体" w:hAnsi="宋体" w:eastAsia="宋体" w:cs="宋体"/>
          <w:b/>
          <w:bCs/>
          <w:kern w:val="0"/>
          <w:sz w:val="28"/>
          <w:szCs w:val="28"/>
          <w:shd w:val="clear" w:fill="FFFFFF"/>
          <w:lang w:val="en-US" w:eastAsia="zh-CN" w:bidi="ar"/>
        </w:rPr>
        <w:t>一、项目基本情况</w:t>
      </w:r>
    </w:p>
    <w:p>
      <w:pPr>
        <w:keepNext w:val="0"/>
        <w:keepLines w:val="0"/>
        <w:widowControl/>
        <w:suppressLineNumbers w:val="0"/>
        <w:ind w:firstLine="560" w:firstLineChars="200"/>
        <w:jc w:val="left"/>
      </w:pPr>
      <w:r>
        <w:rPr>
          <w:rFonts w:hint="eastAsia" w:ascii="宋体" w:hAnsi="宋体" w:eastAsia="宋体" w:cs="宋体"/>
          <w:kern w:val="2"/>
          <w:sz w:val="28"/>
          <w:szCs w:val="28"/>
          <w:lang w:val="en-US" w:eastAsia="zh-CN" w:bidi="ar"/>
        </w:rPr>
        <w:t>1、原公告的采购项目编号：DYJC20260301</w:t>
      </w:r>
    </w:p>
    <w:p>
      <w:pPr>
        <w:keepNext w:val="0"/>
        <w:keepLines w:val="0"/>
        <w:widowControl/>
        <w:suppressLineNumbers w:val="0"/>
        <w:ind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2、原公告的采购项目名称：2026年大冶市第二中学改扩建食堂厨房设备采购项目</w:t>
      </w:r>
      <w:r>
        <w:rPr>
          <w:rFonts w:hint="default" w:ascii="宋体" w:hAnsi="宋体" w:eastAsia="宋体" w:cs="宋体"/>
          <w:kern w:val="2"/>
          <w:sz w:val="28"/>
          <w:szCs w:val="28"/>
          <w:lang w:val="en-US" w:eastAsia="zh-CN" w:bidi="ar"/>
        </w:rPr>
        <w:t>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3、首次公告日期：2026年3月31日</w:t>
      </w:r>
    </w:p>
    <w:p>
      <w:pPr>
        <w:pStyle w:val="2"/>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第1次更正公告时间：2026年4月13日</w:t>
      </w:r>
    </w:p>
    <w:p>
      <w:pPr>
        <w:pStyle w:val="2"/>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第2次更正公告时间：2026年4月14日</w:t>
      </w:r>
    </w:p>
    <w:p>
      <w:pPr>
        <w:pStyle w:val="2"/>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第3次更正公告时间：2026年4月21日</w:t>
      </w:r>
    </w:p>
    <w:p>
      <w:pPr>
        <w:pStyle w:val="7"/>
        <w:keepNext w:val="0"/>
        <w:keepLines w:val="0"/>
        <w:widowControl/>
        <w:numPr>
          <w:ilvl w:val="0"/>
          <w:numId w:val="1"/>
        </w:numPr>
        <w:suppressLineNumbers w:val="0"/>
        <w:shd w:val="clear" w:fill="FFFFFF"/>
        <w:spacing w:before="0" w:beforeAutospacing="1" w:after="0" w:afterAutospacing="1" w:line="520" w:lineRule="exact"/>
        <w:ind w:left="0" w:right="0" w:firstLine="562" w:firstLineChars="200"/>
        <w:jc w:val="both"/>
        <w:rPr>
          <w:rFonts w:hint="eastAsia" w:ascii="宋体" w:hAnsi="宋体" w:eastAsia="宋体" w:cs="宋体"/>
          <w:b/>
          <w:bCs/>
          <w:kern w:val="0"/>
          <w:sz w:val="28"/>
          <w:szCs w:val="28"/>
          <w:shd w:val="clear" w:fill="FFFFFF"/>
        </w:rPr>
      </w:pPr>
      <w:r>
        <w:rPr>
          <w:rFonts w:hint="eastAsia" w:ascii="宋体" w:hAnsi="宋体" w:eastAsia="宋体" w:cs="宋体"/>
          <w:b/>
          <w:bCs/>
          <w:kern w:val="0"/>
          <w:sz w:val="28"/>
          <w:szCs w:val="28"/>
          <w:shd w:val="clear" w:fill="FFFFFF"/>
          <w:lang w:val="en-US" w:eastAsia="zh-CN" w:bidi="ar"/>
        </w:rPr>
        <w:t>更正信息</w:t>
      </w:r>
    </w:p>
    <w:p>
      <w:pPr>
        <w:pStyle w:val="7"/>
        <w:keepNext w:val="0"/>
        <w:keepLines w:val="0"/>
        <w:widowControl/>
        <w:suppressLineNumbers w:val="0"/>
        <w:shd w:val="clear" w:fill="FFFFFF"/>
        <w:spacing w:before="0" w:beforeAutospacing="1" w:after="0" w:afterAutospacing="1" w:line="520" w:lineRule="exact"/>
        <w:ind w:left="0" w:right="0" w:firstLine="560" w:firstLineChars="200"/>
        <w:jc w:val="both"/>
        <w:rPr>
          <w:rFonts w:hint="eastAsia" w:ascii="宋体" w:hAnsi="宋体" w:eastAsia="宋体" w:cs="宋体"/>
          <w:kern w:val="0"/>
          <w:sz w:val="28"/>
          <w:szCs w:val="28"/>
          <w:shd w:val="clear" w:fill="FFFFFF"/>
        </w:rPr>
      </w:pPr>
      <w:r>
        <w:rPr>
          <w:rFonts w:hint="eastAsia" w:ascii="宋体" w:hAnsi="宋体" w:eastAsia="宋体" w:cs="宋体"/>
          <w:kern w:val="0"/>
          <w:sz w:val="28"/>
          <w:szCs w:val="28"/>
          <w:shd w:val="clear" w:fill="FFFFFF"/>
          <w:lang w:val="en-US" w:eastAsia="zh-CN" w:bidi="ar"/>
        </w:rPr>
        <w:t>1、更正事项：采购文件</w:t>
      </w:r>
    </w:p>
    <w:p>
      <w:pPr>
        <w:pStyle w:val="3"/>
        <w:keepNext w:val="0"/>
        <w:keepLines w:val="0"/>
        <w:widowControl w:val="0"/>
        <w:suppressLineNumbers w:val="0"/>
        <w:spacing w:line="360" w:lineRule="auto"/>
        <w:ind w:firstLine="560" w:firstLineChars="200"/>
        <w:jc w:val="both"/>
        <w:rPr>
          <w:rFonts w:hint="eastAsia" w:ascii="宋体" w:hAnsi="宋体" w:eastAsia="宋体" w:cs="宋体"/>
          <w:b w:val="0"/>
          <w:bCs w:val="0"/>
          <w:kern w:val="0"/>
          <w:sz w:val="28"/>
          <w:szCs w:val="28"/>
          <w:shd w:val="clear" w:fill="FFFFFF"/>
          <w:lang w:val="en-US" w:eastAsia="zh-CN" w:bidi="ar"/>
        </w:rPr>
      </w:pPr>
      <w:r>
        <w:rPr>
          <w:rFonts w:hint="eastAsia" w:ascii="宋体" w:hAnsi="宋体" w:eastAsia="宋体" w:cs="宋体"/>
          <w:b w:val="0"/>
          <w:bCs w:val="0"/>
          <w:kern w:val="0"/>
          <w:sz w:val="28"/>
          <w:szCs w:val="28"/>
          <w:shd w:val="clear" w:fill="FFFFFF"/>
          <w:lang w:val="en-US" w:eastAsia="zh-CN" w:bidi="ar"/>
        </w:rPr>
        <w:t>2. 更正内容：采购文件→</w:t>
      </w:r>
      <w:r>
        <w:rPr>
          <w:rFonts w:hint="default" w:ascii="宋体" w:hAnsi="宋体" w:eastAsia="宋体" w:cs="宋体"/>
          <w:b w:val="0"/>
          <w:bCs w:val="0"/>
          <w:kern w:val="0"/>
          <w:sz w:val="28"/>
          <w:szCs w:val="28"/>
          <w:shd w:val="clear" w:fill="FFFFFF"/>
          <w:lang w:val="en-US" w:eastAsia="zh-CN" w:bidi="ar"/>
        </w:rPr>
        <w:t>第五章 评标方法、程序及标准</w:t>
      </w:r>
      <w:r>
        <w:rPr>
          <w:rFonts w:hint="eastAsia" w:ascii="宋体" w:hAnsi="宋体" w:eastAsia="宋体" w:cs="宋体"/>
          <w:b w:val="0"/>
          <w:bCs w:val="0"/>
          <w:kern w:val="0"/>
          <w:sz w:val="28"/>
          <w:szCs w:val="28"/>
          <w:shd w:val="clear" w:fill="FFFFFF"/>
          <w:lang w:val="en-US" w:eastAsia="zh-CN" w:bidi="ar"/>
        </w:rPr>
        <w:t>→三、评审因素及评分标准</w:t>
      </w:r>
    </w:p>
    <w:p>
      <w:pPr>
        <w:pStyle w:val="7"/>
        <w:keepNext w:val="0"/>
        <w:keepLines w:val="0"/>
        <w:widowControl w:val="0"/>
        <w:suppressLineNumbers w:val="0"/>
        <w:spacing w:before="50" w:beforeLines="50" w:beforeAutospacing="0" w:after="50" w:afterLines="50" w:afterAutospacing="0" w:line="360" w:lineRule="auto"/>
        <w:ind w:right="0" w:firstLine="642" w:firstLineChars="200"/>
        <w:jc w:val="both"/>
        <w:rPr>
          <w:rFonts w:hint="eastAsia" w:eastAsia="宋体" w:cs="Times New Roman"/>
          <w:b/>
          <w:bCs/>
          <w:color w:val="000000"/>
          <w:kern w:val="2"/>
          <w:sz w:val="32"/>
          <w:szCs w:val="32"/>
          <w:lang w:val="en-US" w:eastAsia="zh-CN" w:bidi="ar"/>
        </w:rPr>
      </w:pPr>
      <w:r>
        <w:rPr>
          <w:rFonts w:hint="eastAsia" w:cs="Times New Roman"/>
          <w:b/>
          <w:bCs/>
          <w:color w:val="000000"/>
          <w:kern w:val="2"/>
          <w:sz w:val="32"/>
          <w:szCs w:val="32"/>
          <w:lang w:val="en-US" w:eastAsia="zh-CN" w:bidi="ar"/>
        </w:rPr>
        <w:t>原文件</w:t>
      </w:r>
      <w:r>
        <w:rPr>
          <w:rFonts w:hint="eastAsia" w:eastAsia="宋体" w:cs="Times New Roman"/>
          <w:b/>
          <w:bCs/>
          <w:color w:val="000000"/>
          <w:kern w:val="2"/>
          <w:sz w:val="32"/>
          <w:szCs w:val="32"/>
          <w:lang w:val="en-US" w:eastAsia="zh-CN" w:bidi="ar"/>
        </w:rPr>
        <w:t>为：</w:t>
      </w:r>
    </w:p>
    <w:p>
      <w:pPr>
        <w:pStyle w:val="7"/>
        <w:keepNext w:val="0"/>
        <w:keepLines w:val="0"/>
        <w:widowControl w:val="0"/>
        <w:suppressLineNumbers w:val="0"/>
        <w:spacing w:before="50" w:beforeLines="50" w:beforeAutospacing="0" w:after="50" w:afterLines="50" w:afterAutospacing="0" w:line="360" w:lineRule="auto"/>
        <w:ind w:right="0" w:firstLine="480" w:firstLineChars="200"/>
        <w:jc w:val="both"/>
        <w:rPr>
          <w:rFonts w:hint="eastAsia" w:ascii="宋体" w:hAnsi="宋体" w:eastAsia="宋体" w:cs="Times New Roman"/>
          <w:kern w:val="2"/>
          <w:sz w:val="24"/>
          <w:szCs w:val="24"/>
        </w:rPr>
      </w:pPr>
      <w:r>
        <w:rPr>
          <w:rFonts w:hint="eastAsia" w:ascii="宋体" w:hAnsi="宋体" w:eastAsia="宋体" w:cs="宋体"/>
          <w:bCs/>
          <w:kern w:val="2"/>
          <w:sz w:val="24"/>
          <w:szCs w:val="24"/>
          <w:lang w:val="en-US" w:eastAsia="zh-CN" w:bidi="ar"/>
        </w:rPr>
        <w:t>说明</w:t>
      </w:r>
      <w:r>
        <w:rPr>
          <w:rFonts w:hint="eastAsia" w:ascii="宋体" w:hAnsi="宋体" w:eastAsia="宋体" w:cs="宋体"/>
          <w:kern w:val="2"/>
          <w:sz w:val="24"/>
          <w:szCs w:val="24"/>
          <w:lang w:val="en-US" w:eastAsia="zh-CN" w:bidi="ar"/>
        </w:rPr>
        <w:t>：投标人应根据评审因素及评分标准要求提供真实完整清晰的相关证明材料，否则将会导致对应的评审因素不得分。</w:t>
      </w:r>
    </w:p>
    <w:p>
      <w:pPr>
        <w:keepNext w:val="0"/>
        <w:keepLines w:val="0"/>
        <w:widowControl w:val="0"/>
        <w:suppressLineNumbers w:val="0"/>
        <w:spacing w:before="0" w:beforeAutospacing="0" w:after="0" w:afterAutospacing="0" w:line="360" w:lineRule="auto"/>
        <w:ind w:left="0" w:right="0" w:firstLine="481" w:firstLineChars="200"/>
        <w:jc w:val="both"/>
        <w:outlineLvl w:val="2"/>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评审因素及评分标准</w:t>
      </w:r>
    </w:p>
    <w:p>
      <w:pPr>
        <w:keepNext w:val="0"/>
        <w:keepLines w:val="0"/>
        <w:widowControl w:val="0"/>
        <w:suppressLineNumbers w:val="0"/>
        <w:spacing w:before="60" w:beforeAutospacing="0" w:after="60" w:afterAutospacing="0" w:line="360" w:lineRule="exact"/>
        <w:ind w:left="0" w:leftChars="0" w:right="0"/>
        <w:jc w:val="both"/>
        <w:rPr>
          <w:rFonts w:hint="eastAsia" w:ascii="宋体" w:hAnsi="宋体" w:eastAsia="宋体" w:cs="Times New Roman"/>
          <w:b/>
          <w:bCs/>
          <w:color w:val="000000"/>
          <w:kern w:val="2"/>
          <w:sz w:val="24"/>
          <w:szCs w:val="24"/>
        </w:rPr>
      </w:pPr>
      <w:r>
        <w:rPr>
          <w:rFonts w:hint="eastAsia" w:ascii="宋体" w:hAnsi="宋体" w:eastAsia="宋体" w:cs="宋体"/>
          <w:b/>
          <w:bCs/>
          <w:color w:val="000000"/>
          <w:kern w:val="2"/>
          <w:sz w:val="28"/>
          <w:szCs w:val="28"/>
          <w:lang w:val="en-US" w:eastAsia="zh-CN" w:bidi="ar"/>
        </w:rPr>
        <w:t>1、商务评议（6分）</w:t>
      </w:r>
    </w:p>
    <w:tbl>
      <w:tblPr>
        <w:tblStyle w:val="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8"/>
        <w:gridCol w:w="1547"/>
        <w:gridCol w:w="735"/>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序号</w:t>
            </w:r>
          </w:p>
        </w:tc>
        <w:tc>
          <w:tcPr>
            <w:tcW w:w="1547"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评审因素</w:t>
            </w:r>
          </w:p>
        </w:tc>
        <w:tc>
          <w:tcPr>
            <w:tcW w:w="735"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分值</w:t>
            </w:r>
          </w:p>
        </w:tc>
        <w:tc>
          <w:tcPr>
            <w:tcW w:w="6166"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1</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投标人业绩</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4</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投标人具有2023年1月1日以来独立承担过类似厨房设备供货及安装项目的业绩（以合同和中标通知书为准，须同时提供）。每提供一份业绩证明材料得1分，累计最高得4分，不提供不得分。</w:t>
            </w:r>
          </w:p>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bidi="ar"/>
              </w:rPr>
              <w:t>【须附以上材料原件的清晰扫描件或复印件并加盖投标人公章】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0"/>
                <w:sz w:val="22"/>
                <w:szCs w:val="22"/>
                <w:lang w:val="en-US" w:eastAsia="zh-CN" w:bidi="ar"/>
              </w:rPr>
              <w:t>2.2</w:t>
            </w:r>
          </w:p>
        </w:tc>
        <w:tc>
          <w:tcPr>
            <w:tcW w:w="1547"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cs="Times New Roman" w:eastAsiaTheme="minorEastAsia"/>
                <w:color w:val="FF0000"/>
                <w:sz w:val="20"/>
                <w:szCs w:val="20"/>
                <w:lang w:eastAsia="zh-CN"/>
              </w:rPr>
            </w:pPr>
            <w:r>
              <w:rPr>
                <w:rFonts w:hint="eastAsia" w:ascii="Times New Roman" w:hAnsi="Times New Roman" w:cs="Times New Roman"/>
                <w:color w:val="FF0000"/>
                <w:sz w:val="20"/>
                <w:szCs w:val="20"/>
                <w:lang w:eastAsia="zh-CN"/>
              </w:rPr>
              <w:t>投标人综合实力</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0"/>
                <w:sz w:val="22"/>
                <w:szCs w:val="22"/>
                <w:lang w:val="en-US" w:eastAsia="zh-CN"/>
              </w:rPr>
            </w:pPr>
            <w:r>
              <w:rPr>
                <w:rFonts w:hint="eastAsia" w:ascii="宋体" w:hAnsi="宋体" w:eastAsia="宋体" w:cs="宋体"/>
                <w:b/>
                <w:bCs/>
                <w:color w:val="FF0000"/>
                <w:kern w:val="0"/>
                <w:sz w:val="22"/>
                <w:szCs w:val="22"/>
                <w:lang w:val="en-US" w:eastAsia="zh-CN"/>
              </w:rPr>
              <w:t>2</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FF0000"/>
                <w:sz w:val="22"/>
                <w:szCs w:val="22"/>
              </w:rPr>
            </w:pPr>
            <w:r>
              <w:rPr>
                <w:rFonts w:hint="eastAsia" w:ascii="宋体" w:hAnsi="宋体" w:eastAsia="宋体" w:cs="宋体"/>
                <w:color w:val="FF0000"/>
                <w:kern w:val="0"/>
                <w:sz w:val="22"/>
                <w:szCs w:val="22"/>
                <w:lang w:val="en-US" w:eastAsia="zh-CN" w:bidi="ar"/>
              </w:rPr>
              <w:t>投标人提供的类似项目业绩具有用户出具的良好评价证明文件，每提供一个用户认可的良好评价证明文件的得 1分，最多得2分。 （需提供用户认可度证明文件，并注明用户联系方式）</w:t>
            </w:r>
          </w:p>
        </w:tc>
      </w:tr>
    </w:tbl>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color w:val="000000"/>
          <w:kern w:val="2"/>
          <w:sz w:val="28"/>
          <w:szCs w:val="28"/>
        </w:rPr>
      </w:pPr>
      <w:r>
        <w:rPr>
          <w:rFonts w:hint="eastAsia" w:ascii="宋体" w:hAnsi="宋体" w:eastAsia="宋体" w:cs="宋体"/>
          <w:b/>
          <w:bCs/>
          <w:color w:val="000000"/>
          <w:kern w:val="2"/>
          <w:sz w:val="28"/>
          <w:szCs w:val="28"/>
          <w:lang w:val="en-US" w:eastAsia="zh-CN" w:bidi="ar"/>
        </w:rPr>
        <w:t>2、技术、服务评议（59分）</w:t>
      </w:r>
    </w:p>
    <w:tbl>
      <w:tblPr>
        <w:tblStyle w:val="8"/>
        <w:tblW w:w="9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26"/>
        <w:gridCol w:w="704"/>
        <w:gridCol w:w="6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序号</w:t>
            </w:r>
          </w:p>
        </w:tc>
        <w:tc>
          <w:tcPr>
            <w:tcW w:w="1626"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评审因素</w:t>
            </w:r>
          </w:p>
        </w:tc>
        <w:tc>
          <w:tcPr>
            <w:tcW w:w="704"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分值</w:t>
            </w:r>
          </w:p>
        </w:tc>
        <w:tc>
          <w:tcPr>
            <w:tcW w:w="6162"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vMerge w:val="continue"/>
            <w:tcBorders>
              <w:top w:val="single" w:color="000000" w:sz="4" w:space="0"/>
              <w:left w:val="nil"/>
              <w:bottom w:val="single" w:color="000000" w:sz="4" w:space="0"/>
              <w:right w:val="single" w:color="000000" w:sz="4" w:space="0"/>
            </w:tcBorders>
            <w:shd w:val="clear" w:color="auto" w:fill="A4A4A4"/>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4" w:type="dxa"/>
            <w:vMerge w:val="continue"/>
            <w:tcBorders>
              <w:top w:val="single" w:color="000000" w:sz="4" w:space="0"/>
              <w:left w:val="nil"/>
              <w:bottom w:val="single" w:color="000000" w:sz="4" w:space="0"/>
              <w:right w:val="single" w:color="000000" w:sz="4" w:space="0"/>
            </w:tcBorders>
            <w:shd w:val="clear" w:color="auto" w:fill="A4A4A4"/>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single" w:color="000000" w:sz="4" w:space="0"/>
              <w:left w:val="nil"/>
              <w:bottom w:val="single" w:color="000000" w:sz="4" w:space="0"/>
              <w:right w:val="single" w:color="000000" w:sz="4" w:space="0"/>
            </w:tcBorders>
            <w:shd w:val="clear" w:color="auto" w:fill="A4A4A4"/>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2.1</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多功能调料拼台</w:t>
            </w:r>
          </w:p>
        </w:tc>
        <w:tc>
          <w:tcPr>
            <w:tcW w:w="7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9</w:t>
            </w:r>
          </w:p>
        </w:tc>
        <w:tc>
          <w:tcPr>
            <w:tcW w:w="61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bidi="ar"/>
              </w:rPr>
              <w:br w:type="textWrapping"/>
            </w: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b w:val="0"/>
                <w:bCs w:val="0"/>
                <w:i w:val="0"/>
                <w:iCs w:val="0"/>
                <w:color w:val="000000"/>
                <w:kern w:val="0"/>
                <w:sz w:val="22"/>
                <w:szCs w:val="22"/>
                <w:lang w:val="en-US" w:eastAsia="zh-CN" w:bidi="ar"/>
              </w:rPr>
              <w:t>产品符合GB 4806.9-2023标准的有效期内的《食品接触产品安全认证证书》及有效的试验报告。</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val="0"/>
                <w:bCs w:val="0"/>
                <w:i w:val="0"/>
                <w:iCs w:val="0"/>
                <w:color w:val="000000"/>
                <w:kern w:val="0"/>
                <w:sz w:val="22"/>
                <w:szCs w:val="22"/>
                <w:lang w:val="en-US" w:eastAsia="zh-CN" w:bidi="ar"/>
              </w:rPr>
              <w:t>每满足一项产品的以上资料得1分，累计最高得9分，需同时提供证书及检验报告才能得分，否则不得分</w:t>
            </w:r>
            <w:r>
              <w:rPr>
                <w:rFonts w:hint="eastAsia" w:ascii="宋体" w:hAnsi="宋体" w:eastAsia="宋体" w:cs="宋体"/>
                <w:b w:val="0"/>
                <w:bCs w:val="0"/>
                <w:color w:val="000000"/>
                <w:kern w:val="2"/>
                <w:sz w:val="22"/>
                <w:szCs w:val="22"/>
                <w:lang w:val="en-US" w:eastAsia="zh-CN" w:bidi="ar"/>
              </w:rPr>
              <w:t>。</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000000"/>
                <w:kern w:val="2"/>
                <w:sz w:val="22"/>
                <w:szCs w:val="22"/>
                <w:lang w:val="en-US" w:eastAsia="zh-CN" w:bidi="ar"/>
              </w:rPr>
              <w:t>【</w:t>
            </w:r>
            <w:r>
              <w:rPr>
                <w:rFonts w:hint="eastAsia" w:ascii="宋体" w:hAnsi="宋体" w:eastAsia="宋体" w:cs="宋体"/>
                <w:b w:val="0"/>
                <w:bCs w:val="0"/>
                <w:color w:val="000000"/>
                <w:kern w:val="2"/>
                <w:sz w:val="22"/>
                <w:szCs w:val="22"/>
                <w:lang w:val="en-US" w:eastAsia="zh-CN" w:bidi="ar"/>
              </w:rPr>
              <w:t>投标人提供以上资料的清晰扫描件或复印件，提供其中</w:t>
            </w:r>
            <w:r>
              <w:rPr>
                <w:rStyle w:val="12"/>
                <w:rFonts w:hint="eastAsia" w:ascii="宋体" w:hAnsi="宋体" w:eastAsia="宋体" w:cs="宋体"/>
                <w:b w:val="0"/>
                <w:bCs w:val="0"/>
                <w:color w:val="000000"/>
                <w:kern w:val="2"/>
                <w:sz w:val="22"/>
                <w:szCs w:val="22"/>
                <w:lang w:val="en-US" w:eastAsia="zh-CN" w:bidi="ar"/>
              </w:rPr>
              <w:t>证书在国家认证认可监督管理委员会官方网站（www.cnca.gov.cn）的查询截图，并加盖投标人公章。】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四盆保温售饭柜</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四层平板货架</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双层工作台</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单星水池</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单通工作台</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双层餐车</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平板车</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面粉车</w:t>
            </w:r>
          </w:p>
        </w:tc>
        <w:tc>
          <w:tcPr>
            <w:tcW w:w="70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2.2</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电热蒸饭柜（24盘</w:t>
            </w:r>
            <w:r>
              <w:rPr>
                <w:rFonts w:hint="eastAsia" w:ascii="宋体" w:hAnsi="宋体" w:eastAsia="宋体" w:cs="宋体"/>
                <w:i w:val="0"/>
                <w:iCs w:val="0"/>
                <w:color w:val="000000"/>
                <w:kern w:val="0"/>
                <w:sz w:val="22"/>
                <w:szCs w:val="22"/>
                <w:lang w:val="en-US" w:eastAsia="zh-CN" w:bidi="ar"/>
              </w:rPr>
              <w:t>）</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1</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b w:val="0"/>
                <w:bCs w:val="0"/>
                <w:i w:val="0"/>
                <w:iCs w:val="0"/>
                <w:color w:val="000000"/>
                <w:kern w:val="0"/>
                <w:sz w:val="22"/>
                <w:szCs w:val="22"/>
                <w:lang w:val="en-US" w:eastAsia="zh-CN" w:bidi="ar"/>
              </w:rPr>
              <w:t>产品符合GB 4806.9-2023标准的有效期内的</w:t>
            </w:r>
            <w:r>
              <w:rPr>
                <w:rFonts w:hint="eastAsia" w:ascii="宋体" w:hAnsi="宋体" w:eastAsia="宋体" w:cs="宋体"/>
                <w:i w:val="0"/>
                <w:iCs w:val="0"/>
                <w:color w:val="000000"/>
                <w:kern w:val="0"/>
                <w:sz w:val="22"/>
                <w:szCs w:val="22"/>
                <w:lang w:val="en-US" w:eastAsia="zh-CN" w:bidi="ar"/>
              </w:rPr>
              <w:t>食品接触产品安全认证证书</w:t>
            </w:r>
            <w:r>
              <w:rPr>
                <w:rFonts w:hint="eastAsia" w:ascii="宋体" w:hAnsi="宋体" w:eastAsia="宋体" w:cs="宋体"/>
                <w:b w:val="0"/>
                <w:bCs w:val="0"/>
                <w:color w:val="000000"/>
                <w:kern w:val="2"/>
                <w:sz w:val="22"/>
                <w:szCs w:val="22"/>
                <w:lang w:val="en-US" w:eastAsia="zh-CN" w:bidi="ar"/>
              </w:rPr>
              <w:t>，</w:t>
            </w:r>
            <w:r>
              <w:rPr>
                <w:rFonts w:hint="eastAsia" w:ascii="宋体" w:hAnsi="宋体" w:eastAsia="宋体" w:cs="宋体"/>
                <w:color w:val="000000"/>
                <w:kern w:val="2"/>
                <w:sz w:val="22"/>
                <w:szCs w:val="22"/>
                <w:lang w:val="en-US" w:eastAsia="zh-CN" w:bidi="ar"/>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bidi="ar"/>
              </w:rPr>
              <w:t>并</w:t>
            </w:r>
            <w:r>
              <w:rPr>
                <w:rFonts w:hint="eastAsia" w:ascii="宋体" w:hAnsi="宋体" w:eastAsia="宋体" w:cs="宋体"/>
                <w:b w:val="0"/>
                <w:bCs w:val="0"/>
                <w:color w:val="FF0000"/>
                <w:kern w:val="2"/>
                <w:sz w:val="22"/>
                <w:szCs w:val="22"/>
                <w:lang w:val="en-US" w:eastAsia="zh-CN" w:bidi="ar"/>
              </w:rPr>
              <w:t>提供以上</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2.3</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lang w:val="en-US" w:eastAsia="zh-CN" w:bidi="ar"/>
              </w:rPr>
              <w:t>可倾式摇摆汤锅（电）</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1</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i w:val="0"/>
                <w:iCs w:val="0"/>
                <w:color w:val="000000"/>
                <w:kern w:val="0"/>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b w:val="0"/>
                <w:bCs w:val="0"/>
                <w:i w:val="0"/>
                <w:iCs w:val="0"/>
                <w:color w:val="000000"/>
                <w:kern w:val="0"/>
                <w:sz w:val="22"/>
                <w:szCs w:val="22"/>
                <w:lang w:val="en-US" w:eastAsia="zh-CN" w:bidi="ar"/>
              </w:rPr>
              <w:t>产品符合GB 4806.9-2023标准的有效期内的《食品接触产品安全认证证书》。</w:t>
            </w:r>
            <w:r>
              <w:rPr>
                <w:rFonts w:hint="eastAsia" w:ascii="宋体" w:hAnsi="宋体" w:eastAsia="宋体" w:cs="宋体"/>
                <w:color w:val="000000"/>
                <w:kern w:val="2"/>
                <w:sz w:val="22"/>
                <w:szCs w:val="22"/>
                <w:lang w:val="en-US" w:eastAsia="zh-CN" w:bidi="ar"/>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bidi="ar"/>
              </w:rPr>
              <w:t>并</w:t>
            </w:r>
            <w:r>
              <w:rPr>
                <w:rFonts w:hint="eastAsia" w:ascii="宋体" w:hAnsi="宋体" w:eastAsia="宋体" w:cs="宋体"/>
                <w:b w:val="0"/>
                <w:bCs w:val="0"/>
                <w:color w:val="FF0000"/>
                <w:kern w:val="2"/>
                <w:sz w:val="22"/>
                <w:szCs w:val="22"/>
                <w:lang w:val="en-US" w:eastAsia="zh-CN" w:bidi="ar"/>
              </w:rPr>
              <w:t>提供以上</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2.4</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多功能液态导热锅</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2</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电导热锅符合GB 4806.9-2023标准的有效期内的《食品接触产品安全认证证书》，</w:t>
            </w:r>
            <w:r>
              <w:rPr>
                <w:rFonts w:hint="eastAsia" w:ascii="宋体" w:hAnsi="宋体" w:eastAsia="宋体" w:cs="宋体"/>
                <w:color w:val="000000"/>
                <w:kern w:val="2"/>
                <w:sz w:val="22"/>
                <w:szCs w:val="22"/>
                <w:lang w:val="en-US" w:eastAsia="zh-CN" w:bidi="ar"/>
              </w:rPr>
              <w:t>满足的得1分</w:t>
            </w:r>
            <w:r>
              <w:rPr>
                <w:rFonts w:hint="eastAsia" w:ascii="宋体" w:hAnsi="宋体" w:eastAsia="宋体" w:cs="宋体"/>
                <w:color w:val="000000"/>
                <w:kern w:val="2"/>
                <w:sz w:val="22"/>
                <w:szCs w:val="22"/>
                <w:shd w:val="clear" w:fill="FFFFFF"/>
                <w:lang w:val="en-US" w:eastAsia="zh-CN" w:bidi="ar"/>
              </w:rPr>
              <w:t>，</w:t>
            </w:r>
            <w:r>
              <w:rPr>
                <w:rFonts w:hint="eastAsia" w:ascii="宋体" w:hAnsi="宋体" w:eastAsia="宋体" w:cs="宋体"/>
                <w:color w:val="000000"/>
                <w:kern w:val="2"/>
                <w:sz w:val="22"/>
                <w:szCs w:val="22"/>
                <w:lang w:val="en-US" w:eastAsia="zh-CN" w:bidi="ar"/>
              </w:rPr>
              <w:t>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电导热锅符合GB 4706.1-2005、GB 4706.35-2008标准的检验报告</w:t>
            </w:r>
            <w:r>
              <w:rPr>
                <w:rFonts w:hint="eastAsia" w:ascii="宋体" w:hAnsi="宋体" w:eastAsia="宋体" w:cs="宋体"/>
                <w:color w:val="000000"/>
                <w:kern w:val="2"/>
                <w:sz w:val="22"/>
                <w:szCs w:val="22"/>
                <w:lang w:val="en-US" w:eastAsia="zh-CN" w:bidi="ar"/>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bidi="ar"/>
              </w:rPr>
              <w:t>并</w:t>
            </w:r>
            <w:r>
              <w:rPr>
                <w:rFonts w:hint="eastAsia" w:ascii="宋体" w:hAnsi="宋体" w:eastAsia="宋体" w:cs="宋体"/>
                <w:b w:val="0"/>
                <w:bCs w:val="0"/>
                <w:color w:val="FF0000"/>
                <w:kern w:val="2"/>
                <w:sz w:val="22"/>
                <w:szCs w:val="22"/>
                <w:lang w:val="en-US" w:eastAsia="zh-CN" w:bidi="ar"/>
              </w:rPr>
              <w:t>提供以上</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bidi="ar"/>
              </w:rPr>
              <w:t>2.5</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风冷双温四门高身冰柜</w:t>
            </w:r>
          </w:p>
        </w:tc>
        <w:tc>
          <w:tcPr>
            <w:tcW w:w="704"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4</w:t>
            </w:r>
          </w:p>
        </w:tc>
        <w:tc>
          <w:tcPr>
            <w:tcW w:w="6162"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产品</w:t>
            </w:r>
            <w:r>
              <w:rPr>
                <w:rFonts w:hint="eastAsia" w:ascii="宋体" w:hAnsi="宋体" w:eastAsia="宋体" w:cs="宋体"/>
                <w:b w:val="0"/>
                <w:bCs w:val="0"/>
                <w:i w:val="0"/>
                <w:iCs w:val="0"/>
                <w:color w:val="000000"/>
                <w:kern w:val="0"/>
                <w:sz w:val="22"/>
                <w:szCs w:val="22"/>
                <w:lang w:val="en-US" w:eastAsia="zh-CN" w:bidi="ar"/>
              </w:rPr>
              <w:t>符合GB 4806.9-2023标准的有效期内的</w:t>
            </w:r>
            <w:r>
              <w:rPr>
                <w:rFonts w:hint="eastAsia" w:ascii="宋体" w:hAnsi="宋体" w:eastAsia="宋体" w:cs="宋体"/>
                <w:i w:val="0"/>
                <w:iCs w:val="0"/>
                <w:color w:val="000000"/>
                <w:kern w:val="0"/>
                <w:sz w:val="22"/>
                <w:szCs w:val="22"/>
                <w:lang w:val="en-US" w:eastAsia="zh-CN" w:bidi="ar"/>
              </w:rPr>
              <w:t>食品接触产品安全认证证书，</w:t>
            </w:r>
            <w:r>
              <w:rPr>
                <w:rFonts w:hint="eastAsia" w:ascii="宋体" w:hAnsi="宋体" w:eastAsia="宋体" w:cs="宋体"/>
                <w:b w:val="0"/>
                <w:bCs w:val="0"/>
                <w:color w:val="000000"/>
                <w:kern w:val="2"/>
                <w:sz w:val="22"/>
                <w:szCs w:val="22"/>
                <w:lang w:val="en-US" w:eastAsia="zh-CN" w:bidi="ar"/>
              </w:rPr>
              <w:t>每提供一项产品的以上证书得1分，两项产品均满足要求得2分。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产品符合 GB26920.2-2015《商用制冷器具能效限定值和能效等级第 2 部分: 自携冷凝机组商用冷柜》标准的一级能效检测报告，</w:t>
            </w:r>
            <w:r>
              <w:rPr>
                <w:rFonts w:hint="eastAsia" w:ascii="宋体" w:hAnsi="宋体" w:eastAsia="宋体" w:cs="宋体"/>
                <w:b w:val="0"/>
                <w:bCs w:val="0"/>
                <w:color w:val="000000"/>
                <w:kern w:val="2"/>
                <w:sz w:val="22"/>
                <w:szCs w:val="22"/>
                <w:lang w:val="en-US" w:eastAsia="zh-CN" w:bidi="ar"/>
              </w:rPr>
              <w:t>每提供一项产品的以上检测报告得1分，两项产品均满足要求得2分。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bidi="ar"/>
              </w:rPr>
              <w:t>并</w:t>
            </w:r>
            <w:r>
              <w:rPr>
                <w:rFonts w:hint="eastAsia" w:ascii="宋体" w:hAnsi="宋体" w:eastAsia="宋体" w:cs="宋体"/>
                <w:b w:val="0"/>
                <w:bCs w:val="0"/>
                <w:color w:val="FF0000"/>
                <w:kern w:val="2"/>
                <w:sz w:val="22"/>
                <w:szCs w:val="22"/>
                <w:lang w:val="en-US" w:eastAsia="zh-CN" w:bidi="ar"/>
              </w:rPr>
              <w:t>提供其中</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风冷冷藏操作台</w:t>
            </w:r>
          </w:p>
        </w:tc>
        <w:tc>
          <w:tcPr>
            <w:tcW w:w="704"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2.6</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lang w:val="en-US" w:eastAsia="zh-CN" w:bidi="ar"/>
              </w:rPr>
              <w:t>绞切肉机</w:t>
            </w:r>
          </w:p>
        </w:tc>
        <w:tc>
          <w:tcPr>
            <w:tcW w:w="704"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5</w:t>
            </w:r>
          </w:p>
        </w:tc>
        <w:tc>
          <w:tcPr>
            <w:tcW w:w="6162"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产品符合GB 4806.9-2023标准的有效期内的《食品接触产品安全认证证书》，</w:t>
            </w:r>
            <w:r>
              <w:rPr>
                <w:rFonts w:hint="eastAsia" w:ascii="宋体" w:hAnsi="宋体" w:eastAsia="宋体" w:cs="宋体"/>
                <w:b w:val="0"/>
                <w:bCs w:val="0"/>
                <w:color w:val="000000"/>
                <w:kern w:val="2"/>
                <w:sz w:val="22"/>
                <w:szCs w:val="22"/>
                <w:lang w:val="en-US" w:eastAsia="zh-CN" w:bidi="ar"/>
              </w:rPr>
              <w:t>每提供一项产品的以上证书得1分，五项产品均满足要求得5分，不满足或不提供不得分。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bidi="ar"/>
              </w:rPr>
              <w:t>并</w:t>
            </w:r>
            <w:r>
              <w:rPr>
                <w:rFonts w:hint="eastAsia" w:ascii="宋体" w:hAnsi="宋体" w:eastAsia="宋体" w:cs="宋体"/>
                <w:b w:val="0"/>
                <w:bCs w:val="0"/>
                <w:color w:val="FF0000"/>
                <w:kern w:val="2"/>
                <w:sz w:val="22"/>
                <w:szCs w:val="22"/>
                <w:lang w:val="en-US" w:eastAsia="zh-CN" w:bidi="ar"/>
              </w:rPr>
              <w:t>提供以上</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毛刷清洗机</w:t>
            </w:r>
          </w:p>
        </w:tc>
        <w:tc>
          <w:tcPr>
            <w:tcW w:w="704"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lang w:val="en-US" w:eastAsia="zh-CN" w:bidi="ar"/>
              </w:rPr>
              <w:t>全自动多功能切菜机</w:t>
            </w:r>
          </w:p>
        </w:tc>
        <w:tc>
          <w:tcPr>
            <w:tcW w:w="704"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全自动和面机</w:t>
            </w:r>
          </w:p>
        </w:tc>
        <w:tc>
          <w:tcPr>
            <w:tcW w:w="704"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全自动压面机</w:t>
            </w:r>
          </w:p>
        </w:tc>
        <w:tc>
          <w:tcPr>
            <w:tcW w:w="704"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62"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2.7</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长龙洗碗机</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4</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提供：</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i w:val="0"/>
                <w:iCs w:val="0"/>
                <w:color w:val="000000"/>
                <w:kern w:val="0"/>
                <w:sz w:val="22"/>
                <w:szCs w:val="22"/>
                <w:lang w:val="en-US" w:eastAsia="zh-CN" w:bidi="ar"/>
              </w:rPr>
              <w:t>①所投洗碗机具有满足GB/T 17799.1-2017、GB/T 17626.12-2023 的标准要求，其：静电放电抗扰度试验、电快速瞬变脉冲群抗扰度试验、振铃波抗扰度试验等方面满足性能判据 A 的试验报告；</w:t>
            </w:r>
            <w:r>
              <w:rPr>
                <w:rFonts w:hint="eastAsia" w:ascii="宋体" w:hAnsi="宋体" w:eastAsia="宋体" w:cs="宋体"/>
                <w:color w:val="000000"/>
                <w:kern w:val="2"/>
                <w:sz w:val="22"/>
                <w:szCs w:val="22"/>
                <w:lang w:val="en-US" w:eastAsia="zh-CN" w:bidi="ar"/>
              </w:rPr>
              <w:t>满足的得1分，不满足或不提供不得分。</w:t>
            </w:r>
            <w:r>
              <w:rPr>
                <w:rFonts w:hint="eastAsia" w:ascii="宋体" w:hAnsi="宋体" w:eastAsia="宋体" w:cs="宋体"/>
                <w:i w:val="0"/>
                <w:iCs w:val="0"/>
                <w:color w:val="000000"/>
                <w:kern w:val="0"/>
                <w:sz w:val="22"/>
                <w:szCs w:val="22"/>
                <w:lang w:val="en-US" w:eastAsia="zh-CN" w:bidi="ar"/>
              </w:rPr>
              <w:br w:type="textWrapping"/>
            </w:r>
            <w:r>
              <w:rPr>
                <w:rFonts w:hint="eastAsia" w:ascii="宋体" w:hAnsi="宋体" w:eastAsia="宋体" w:cs="宋体"/>
                <w:i w:val="0"/>
                <w:iCs w:val="0"/>
                <w:color w:val="000000"/>
                <w:kern w:val="0"/>
                <w:sz w:val="22"/>
                <w:szCs w:val="22"/>
                <w:lang w:val="en-US" w:eastAsia="zh-CN" w:bidi="ar"/>
              </w:rPr>
              <w:t>②所投洗碗机具有满足依据GB/T 5464-2010、GB/T14402-2007标准要求的检测报告;其：发热管、加热包、洗碗机电箱依据GB/T 5464-2010、GB/T14402-2007标准，其:燃烧热值≤1MJ/kg；质量损失率△m≤0.5%且炉内温升△T≤15°C满足不燃性，获得合格的检测报告，阻燃等级为:A(A1)级；</w:t>
            </w:r>
            <w:r>
              <w:rPr>
                <w:rFonts w:hint="eastAsia" w:ascii="宋体" w:hAnsi="宋体" w:eastAsia="宋体" w:cs="宋体"/>
                <w:color w:val="000000"/>
                <w:kern w:val="2"/>
                <w:sz w:val="22"/>
                <w:szCs w:val="22"/>
                <w:lang w:val="en-US" w:eastAsia="zh-CN" w:bidi="ar"/>
              </w:rPr>
              <w:t>满足的得1分，不满足或不提供不得分。</w:t>
            </w:r>
            <w:r>
              <w:rPr>
                <w:rFonts w:hint="eastAsia" w:ascii="宋体" w:hAnsi="宋体" w:eastAsia="宋体" w:cs="宋体"/>
                <w:i w:val="0"/>
                <w:iCs w:val="0"/>
                <w:color w:val="000000"/>
                <w:kern w:val="0"/>
                <w:sz w:val="22"/>
                <w:szCs w:val="22"/>
                <w:lang w:val="en-US" w:eastAsia="zh-CN" w:bidi="ar"/>
              </w:rPr>
              <w:br w:type="textWrapping"/>
            </w:r>
            <w:r>
              <w:rPr>
                <w:rFonts w:hint="eastAsia" w:ascii="宋体" w:hAnsi="宋体" w:eastAsia="宋体" w:cs="宋体"/>
                <w:i w:val="0"/>
                <w:iCs w:val="0"/>
                <w:color w:val="000000"/>
                <w:kern w:val="0"/>
                <w:sz w:val="22"/>
                <w:szCs w:val="22"/>
                <w:lang w:val="en-US" w:eastAsia="zh-CN" w:bidi="ar"/>
              </w:rPr>
              <w:t>③所投洗碗机具有满足 GB/T 26125-2011、 GB/T 26572-2011标准要求；其：清洗组件、触控板、总闸控制板、总闸配件、排水阀、压力阀、电机、水箱、水管的铅(Pb)、镉(Cd)、汞(Hg)、 六价铬(Cr(VI))、多溴联苯(PBBs)、多溴二苯醚(PBDEs)的物质限量检测合格的检测报告；</w:t>
            </w:r>
            <w:r>
              <w:rPr>
                <w:rFonts w:hint="eastAsia" w:ascii="宋体" w:hAnsi="宋体" w:eastAsia="宋体" w:cs="宋体"/>
                <w:color w:val="000000"/>
                <w:kern w:val="2"/>
                <w:sz w:val="22"/>
                <w:szCs w:val="22"/>
                <w:lang w:val="en-US" w:eastAsia="zh-CN" w:bidi="ar"/>
              </w:rPr>
              <w:t>满足的得1分，不满足或不提供不得分。</w:t>
            </w:r>
            <w:r>
              <w:rPr>
                <w:rFonts w:hint="eastAsia" w:ascii="宋体" w:hAnsi="宋体" w:eastAsia="宋体" w:cs="宋体"/>
                <w:i w:val="0"/>
                <w:iCs w:val="0"/>
                <w:color w:val="000000"/>
                <w:kern w:val="0"/>
                <w:sz w:val="22"/>
                <w:szCs w:val="22"/>
                <w:lang w:val="en-US" w:eastAsia="zh-CN" w:bidi="ar"/>
              </w:rPr>
              <w:br w:type="textWrapping"/>
            </w:r>
            <w:r>
              <w:rPr>
                <w:rFonts w:hint="eastAsia" w:ascii="宋体" w:hAnsi="宋体" w:eastAsia="宋体" w:cs="宋体"/>
                <w:i w:val="0"/>
                <w:iCs w:val="0"/>
                <w:color w:val="000000"/>
                <w:kern w:val="0"/>
                <w:sz w:val="22"/>
                <w:szCs w:val="22"/>
                <w:lang w:val="en-US" w:eastAsia="zh-CN" w:bidi="ar"/>
              </w:rPr>
              <w:t>④提供所投洗碗机获得的低碳产品认证证书；</w:t>
            </w:r>
            <w:r>
              <w:rPr>
                <w:rFonts w:hint="eastAsia" w:ascii="宋体" w:hAnsi="宋体" w:eastAsia="宋体" w:cs="宋体"/>
                <w:color w:val="000000"/>
                <w:kern w:val="2"/>
                <w:sz w:val="22"/>
                <w:szCs w:val="22"/>
                <w:lang w:val="en-US" w:eastAsia="zh-CN" w:bidi="ar"/>
              </w:rPr>
              <w:t>满足的得0.5分，不满足或不提供不得分。</w:t>
            </w:r>
            <w:r>
              <w:rPr>
                <w:rFonts w:hint="eastAsia" w:ascii="宋体" w:hAnsi="宋体" w:eastAsia="宋体" w:cs="宋体"/>
                <w:i w:val="0"/>
                <w:iCs w:val="0"/>
                <w:color w:val="000000"/>
                <w:kern w:val="0"/>
                <w:sz w:val="22"/>
                <w:szCs w:val="22"/>
                <w:lang w:val="en-US" w:eastAsia="zh-CN" w:bidi="ar"/>
              </w:rPr>
              <w:br w:type="textWrapping"/>
            </w:r>
            <w:r>
              <w:rPr>
                <w:rFonts w:hint="eastAsia" w:ascii="宋体" w:hAnsi="宋体" w:eastAsia="宋体" w:cs="宋体"/>
                <w:i w:val="0"/>
                <w:iCs w:val="0"/>
                <w:color w:val="000000"/>
                <w:kern w:val="0"/>
                <w:sz w:val="22"/>
                <w:szCs w:val="22"/>
                <w:lang w:val="en-US" w:eastAsia="zh-CN" w:bidi="ar"/>
              </w:rPr>
              <w:t>⑤提供所投洗碗机具有满足GB/T4208-2017标准，其防水等级≥IPX6的产品防水等级认证证书。；</w:t>
            </w:r>
            <w:r>
              <w:rPr>
                <w:rFonts w:hint="eastAsia" w:ascii="宋体" w:hAnsi="宋体" w:eastAsia="宋体" w:cs="宋体"/>
                <w:color w:val="000000"/>
                <w:kern w:val="2"/>
                <w:sz w:val="22"/>
                <w:szCs w:val="22"/>
                <w:lang w:val="en-US" w:eastAsia="zh-CN" w:bidi="ar"/>
              </w:rPr>
              <w:t>满足的得0.5分，不满足或不提供不得分。</w:t>
            </w:r>
            <w:r>
              <w:rPr>
                <w:rFonts w:hint="eastAsia" w:ascii="宋体" w:hAnsi="宋体" w:eastAsia="宋体" w:cs="宋体"/>
                <w:i w:val="0"/>
                <w:iCs w:val="0"/>
                <w:color w:val="000000"/>
                <w:kern w:val="0"/>
                <w:sz w:val="22"/>
                <w:szCs w:val="22"/>
                <w:lang w:val="en-US" w:eastAsia="zh-CN" w:bidi="ar"/>
              </w:rPr>
              <w:br w:type="textWrapping"/>
            </w: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投标人提供产品制造商的以上资料并加盖制造商公章的清晰扫描件或复印件，提供其中</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2.8</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四人快餐桌</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2</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产品符合GB 4806.9-2023标准的有效期内的《食品接触产品安全认证证书》或检测报告。</w:t>
            </w:r>
            <w:r>
              <w:rPr>
                <w:rFonts w:hint="eastAsia" w:ascii="宋体" w:hAnsi="宋体" w:eastAsia="宋体" w:cs="宋体"/>
                <w:color w:val="000000"/>
                <w:kern w:val="2"/>
                <w:sz w:val="22"/>
                <w:szCs w:val="22"/>
                <w:lang w:val="en-US" w:eastAsia="zh-CN" w:bidi="ar"/>
              </w:rPr>
              <w:t>满足的得2分，不满足或不提供不得分。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2.9</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油烟净化一体机</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4</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i w:val="0"/>
                <w:iCs w:val="0"/>
                <w:color w:val="000000"/>
                <w:kern w:val="0"/>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FF0000"/>
                <w:kern w:val="0"/>
                <w:sz w:val="22"/>
                <w:szCs w:val="22"/>
                <w:lang w:val="en-US" w:eastAsia="zh-CN" w:bidi="ar"/>
              </w:rPr>
              <w:t>产品获得中国质量中心出具的《中国环保产品认证证书》及中环协认证中心出具的《中国环境保护产品认证证书》，</w:t>
            </w:r>
            <w:r>
              <w:rPr>
                <w:rFonts w:hint="eastAsia" w:ascii="宋体" w:hAnsi="宋体" w:eastAsia="宋体" w:cs="宋体"/>
                <w:color w:val="FF0000"/>
                <w:kern w:val="2"/>
                <w:sz w:val="22"/>
                <w:szCs w:val="22"/>
                <w:lang w:val="en-US" w:eastAsia="zh-CN" w:bidi="ar"/>
              </w:rPr>
              <w:t>满足的得2分，</w:t>
            </w:r>
            <w:r>
              <w:rPr>
                <w:rFonts w:hint="eastAsia" w:ascii="宋体" w:hAnsi="宋体" w:eastAsia="宋体" w:cs="宋体"/>
                <w:b w:val="0"/>
                <w:bCs w:val="0"/>
                <w:color w:val="000000"/>
                <w:kern w:val="2"/>
                <w:sz w:val="22"/>
                <w:szCs w:val="22"/>
                <w:lang w:val="en-US" w:eastAsia="zh-CN" w:bidi="ar"/>
              </w:rPr>
              <w:t>缺少任何一项证书不得分</w:t>
            </w:r>
            <w:r>
              <w:rPr>
                <w:rFonts w:hint="eastAsia" w:ascii="宋体" w:hAnsi="宋体" w:eastAsia="宋体" w:cs="宋体"/>
                <w:color w:val="000000"/>
                <w:kern w:val="2"/>
                <w:sz w:val="22"/>
                <w:szCs w:val="22"/>
                <w:lang w:val="en-US" w:eastAsia="zh-CN" w:bidi="ar"/>
              </w:rPr>
              <w:t>。</w:t>
            </w:r>
            <w:r>
              <w:rPr>
                <w:rFonts w:hint="eastAsia" w:ascii="宋体" w:hAnsi="宋体" w:eastAsia="宋体" w:cs="宋体"/>
                <w:i w:val="0"/>
                <w:iCs w:val="0"/>
                <w:color w:val="000000"/>
                <w:kern w:val="0"/>
                <w:sz w:val="22"/>
                <w:szCs w:val="22"/>
                <w:lang w:val="en-US" w:eastAsia="zh-CN" w:bidi="ar"/>
              </w:rPr>
              <w:t xml:space="preserve">                     </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提供：</w:t>
            </w:r>
            <w:r>
              <w:rPr>
                <w:rFonts w:hint="eastAsia" w:ascii="宋体" w:hAnsi="宋体" w:eastAsia="宋体" w:cs="宋体"/>
                <w:i w:val="0"/>
                <w:iCs w:val="0"/>
                <w:color w:val="000000"/>
                <w:kern w:val="0"/>
                <w:sz w:val="22"/>
                <w:szCs w:val="22"/>
                <w:lang w:val="en-US" w:eastAsia="zh-CN" w:bidi="ar"/>
              </w:rPr>
              <w:t>油烟净化一体机设备制造商依据GB18483-2001《饮食业油烟排放标准》，提供在额定风量条件下设备的油烟净化效率≥96%的带CMA标识第三方检测机构出具的检测报告复印件加盖公章；其中油烟净化效率≥99%的</w:t>
            </w:r>
            <w:r>
              <w:rPr>
                <w:rFonts w:hint="eastAsia" w:ascii="宋体" w:hAnsi="宋体" w:eastAsia="宋体" w:cs="宋体"/>
                <w:color w:val="000000"/>
                <w:kern w:val="2"/>
                <w:sz w:val="22"/>
                <w:szCs w:val="22"/>
                <w:lang w:val="en-US" w:eastAsia="zh-CN" w:bidi="ar"/>
              </w:rPr>
              <w:t>得2分，96%</w:t>
            </w:r>
            <w:r>
              <w:rPr>
                <w:rFonts w:hint="default" w:ascii="东文宋体" w:hAnsi="东文宋体" w:eastAsia="东文宋体" w:cs="东文宋体"/>
                <w:color w:val="000000"/>
                <w:kern w:val="2"/>
                <w:sz w:val="22"/>
                <w:szCs w:val="22"/>
                <w:lang w:val="en-US" w:eastAsia="zh-CN" w:bidi="ar"/>
              </w:rPr>
              <w:t>≤</w:t>
            </w:r>
            <w:r>
              <w:rPr>
                <w:rFonts w:hint="eastAsia" w:ascii="宋体" w:hAnsi="宋体" w:eastAsia="宋体" w:cs="宋体"/>
                <w:i w:val="0"/>
                <w:iCs w:val="0"/>
                <w:color w:val="000000"/>
                <w:kern w:val="0"/>
                <w:sz w:val="22"/>
                <w:szCs w:val="22"/>
                <w:lang w:val="en-US" w:eastAsia="zh-CN" w:bidi="ar"/>
              </w:rPr>
              <w:t>油烟净化效率</w:t>
            </w:r>
            <w:r>
              <w:rPr>
                <w:rFonts w:hint="eastAsia" w:ascii="华文中宋" w:hAnsi="华文中宋" w:eastAsia="华文中宋" w:cs="华文中宋"/>
                <w:i w:val="0"/>
                <w:iCs w:val="0"/>
                <w:color w:val="000000"/>
                <w:kern w:val="0"/>
                <w:sz w:val="22"/>
                <w:szCs w:val="22"/>
                <w:lang w:val="en-US" w:eastAsia="zh-CN" w:bidi="ar"/>
              </w:rPr>
              <w:t>&lt;</w:t>
            </w:r>
            <w:r>
              <w:rPr>
                <w:rFonts w:hint="eastAsia" w:ascii="宋体" w:hAnsi="宋体" w:eastAsia="宋体" w:cs="宋体"/>
                <w:i w:val="0"/>
                <w:iCs w:val="0"/>
                <w:color w:val="000000"/>
                <w:kern w:val="0"/>
                <w:sz w:val="22"/>
                <w:szCs w:val="22"/>
                <w:lang w:val="en-US" w:eastAsia="zh-CN" w:bidi="ar"/>
              </w:rPr>
              <w:t>99%的</w:t>
            </w:r>
            <w:r>
              <w:rPr>
                <w:rFonts w:hint="eastAsia" w:ascii="宋体" w:hAnsi="宋体" w:eastAsia="宋体" w:cs="宋体"/>
                <w:color w:val="000000"/>
                <w:kern w:val="2"/>
                <w:sz w:val="22"/>
                <w:szCs w:val="22"/>
                <w:lang w:val="en-US" w:eastAsia="zh-CN" w:bidi="ar"/>
              </w:rPr>
              <w:t>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FF0000"/>
                <w:kern w:val="2"/>
                <w:sz w:val="22"/>
                <w:szCs w:val="22"/>
                <w:lang w:val="en-US" w:eastAsia="zh-CN" w:bidi="ar"/>
              </w:rPr>
              <w:t>【</w:t>
            </w:r>
            <w:r>
              <w:rPr>
                <w:rFonts w:hint="eastAsia" w:ascii="宋体" w:hAnsi="宋体" w:eastAsia="宋体" w:cs="宋体"/>
                <w:b w:val="0"/>
                <w:bCs w:val="0"/>
                <w:color w:val="FF0000"/>
                <w:kern w:val="2"/>
                <w:sz w:val="22"/>
                <w:szCs w:val="22"/>
                <w:lang w:val="en-US" w:eastAsia="zh-CN" w:bidi="ar"/>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bidi="ar"/>
              </w:rPr>
              <w:t>并</w:t>
            </w:r>
            <w:r>
              <w:rPr>
                <w:rFonts w:hint="eastAsia" w:ascii="宋体" w:hAnsi="宋体" w:eastAsia="宋体" w:cs="宋体"/>
                <w:b w:val="0"/>
                <w:bCs w:val="0"/>
                <w:color w:val="FF0000"/>
                <w:kern w:val="2"/>
                <w:sz w:val="22"/>
                <w:szCs w:val="22"/>
                <w:lang w:val="en-US" w:eastAsia="zh-CN" w:bidi="ar"/>
              </w:rPr>
              <w:t>提供其中</w:t>
            </w:r>
            <w:r>
              <w:rPr>
                <w:rStyle w:val="12"/>
                <w:rFonts w:hint="eastAsia" w:ascii="宋体" w:hAnsi="宋体" w:eastAsia="宋体" w:cs="宋体"/>
                <w:b w:val="0"/>
                <w:bCs w:val="0"/>
                <w:color w:val="FF0000"/>
                <w:kern w:val="2"/>
                <w:sz w:val="22"/>
                <w:szCs w:val="22"/>
                <w:lang w:val="en-US" w:eastAsia="zh-CN" w:bidi="ar"/>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bidi="ar"/>
              </w:rPr>
              <w:t>。</w:t>
            </w:r>
            <w:r>
              <w:rPr>
                <w:rStyle w:val="12"/>
                <w:rFonts w:hint="eastAsia" w:ascii="宋体" w:hAnsi="宋体" w:eastAsia="宋体" w:cs="宋体"/>
                <w:b w:val="0"/>
                <w:bCs w:val="0"/>
                <w:color w:val="FF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bidi="ar"/>
              </w:rPr>
              <w:t>2.10</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bidi="ar"/>
              </w:rPr>
              <w:t>风柜</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3</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bidi="ar"/>
              </w:rPr>
              <w:t>提供：</w:t>
            </w:r>
          </w:p>
          <w:p>
            <w:pPr>
              <w:keepNext w:val="0"/>
              <w:keepLines w:val="0"/>
              <w:widowControl/>
              <w:suppressLineNumbers w:val="0"/>
              <w:autoSpaceDE w:val="0"/>
              <w:autoSpaceDN/>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所投风机通过GB19761-2020《通风机能效限定值及能效等级》的相关要求进行测试，检测结果至少达到二级能效要求，提供具有CMA或CNAS 或CAL标识的能源效率检测报告扫描件；其中一级能效</w:t>
            </w:r>
            <w:r>
              <w:rPr>
                <w:rFonts w:hint="eastAsia" w:ascii="宋体" w:hAnsi="宋体" w:eastAsia="宋体" w:cs="宋体"/>
                <w:color w:val="000000"/>
                <w:kern w:val="2"/>
                <w:sz w:val="22"/>
                <w:szCs w:val="22"/>
                <w:lang w:val="en-US" w:eastAsia="zh-CN" w:bidi="ar"/>
              </w:rPr>
              <w:t>的得1分，</w:t>
            </w:r>
            <w:r>
              <w:rPr>
                <w:rFonts w:hint="eastAsia" w:ascii="宋体" w:hAnsi="宋体" w:eastAsia="宋体" w:cs="宋体"/>
                <w:i w:val="0"/>
                <w:iCs w:val="0"/>
                <w:color w:val="000000"/>
                <w:kern w:val="0"/>
                <w:sz w:val="22"/>
                <w:szCs w:val="22"/>
                <w:lang w:val="en-US" w:eastAsia="zh-CN" w:bidi="ar"/>
              </w:rPr>
              <w:t>二级能效</w:t>
            </w:r>
            <w:r>
              <w:rPr>
                <w:rFonts w:hint="eastAsia" w:ascii="宋体" w:hAnsi="宋体" w:eastAsia="宋体" w:cs="宋体"/>
                <w:color w:val="000000"/>
                <w:kern w:val="2"/>
                <w:sz w:val="22"/>
                <w:szCs w:val="22"/>
                <w:lang w:val="en-US" w:eastAsia="zh-CN" w:bidi="ar"/>
              </w:rPr>
              <w:t>的得0.5分，不满足或不提供不得分。</w:t>
            </w:r>
          </w:p>
          <w:p>
            <w:pPr>
              <w:keepNext w:val="0"/>
              <w:keepLines w:val="0"/>
              <w:widowControl/>
              <w:suppressLineNumbers w:val="0"/>
              <w:autoSpaceDE w:val="0"/>
              <w:autoSpaceDN/>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bidi="ar"/>
              </w:rPr>
              <w:t>所投风机检测项目符合GB/T1236-2017《工业通风机用标准化风道性能试验》、GB/T2888-2008《风机和罗茨鼓风机噪声测量方法》、JB/T8689-2014《通风机振动检测及其限值》、JB/T10563-2006《一般用途离心通风机技术条件》标准，检测结果符合要求，要求噪音值≤20分贝(dB)，提供具有CMA或CNAS或CAL标识的检测报告扫描件；其中噪音值≤16分贝(dB)</w:t>
            </w:r>
            <w:r>
              <w:rPr>
                <w:rFonts w:hint="eastAsia" w:ascii="宋体" w:hAnsi="宋体" w:eastAsia="宋体" w:cs="宋体"/>
                <w:color w:val="000000"/>
                <w:kern w:val="2"/>
                <w:sz w:val="22"/>
                <w:szCs w:val="22"/>
                <w:lang w:val="en-US" w:eastAsia="zh-CN" w:bidi="ar"/>
              </w:rPr>
              <w:t>的得1分，</w:t>
            </w:r>
            <w:r>
              <w:rPr>
                <w:rFonts w:hint="eastAsia" w:ascii="宋体" w:hAnsi="宋体" w:eastAsia="宋体" w:cs="宋体"/>
                <w:i w:val="0"/>
                <w:iCs w:val="0"/>
                <w:color w:val="000000"/>
                <w:kern w:val="0"/>
                <w:sz w:val="22"/>
                <w:szCs w:val="22"/>
                <w:lang w:val="en-US" w:eastAsia="zh-CN" w:bidi="ar"/>
              </w:rPr>
              <w:t>16分贝(dB)&lt;噪音值≤20分贝(dB)的</w:t>
            </w:r>
            <w:r>
              <w:rPr>
                <w:rFonts w:hint="eastAsia" w:ascii="宋体" w:hAnsi="宋体" w:eastAsia="宋体" w:cs="宋体"/>
                <w:color w:val="000000"/>
                <w:kern w:val="2"/>
                <w:sz w:val="22"/>
                <w:szCs w:val="22"/>
                <w:lang w:val="en-US" w:eastAsia="zh-CN" w:bidi="ar"/>
              </w:rPr>
              <w:t>得0.5分，不满足或不提供不得分。</w:t>
            </w:r>
          </w:p>
          <w:p>
            <w:pPr>
              <w:keepNext w:val="0"/>
              <w:keepLines w:val="0"/>
              <w:widowControl w:val="0"/>
              <w:suppressLineNumbers w:val="0"/>
              <w:autoSpaceDE w:val="0"/>
              <w:autoSpaceDN/>
              <w:spacing w:before="0" w:beforeAutospacing="0" w:after="0" w:afterAutospacing="0" w:line="0" w:lineRule="atLeast"/>
              <w:ind w:left="0" w:right="0" w:firstLine="440" w:firstLineChars="200"/>
              <w:jc w:val="both"/>
              <w:rPr>
                <w:rFonts w:hint="eastAsia" w:ascii="宋体" w:hAnsi="宋体" w:eastAsia="宋体" w:cs="宋体"/>
                <w:b/>
                <w:bCs/>
                <w:color w:val="000000"/>
                <w:kern w:val="2"/>
                <w:sz w:val="22"/>
                <w:szCs w:val="22"/>
              </w:rPr>
            </w:pPr>
            <w:r>
              <w:rPr>
                <w:rFonts w:hint="eastAsia" w:ascii="宋体" w:hAnsi="宋体" w:eastAsia="宋体" w:cs="宋体"/>
                <w:i w:val="0"/>
                <w:iCs w:val="0"/>
                <w:color w:val="000000"/>
                <w:kern w:val="0"/>
                <w:sz w:val="22"/>
                <w:szCs w:val="22"/>
                <w:lang w:val="en-US" w:eastAsia="zh-CN" w:bidi="ar"/>
              </w:rPr>
              <w:t>所投风机通过GB/T 4208-2017《外壳防护等级（IP代码）》标准，所检项目均符合检验依据要求并判定结果为合格。外壳防护等级至少达到IP65标准，提供第三方检测机构出具的CMA、ilac-MRA和CNAS标识的产品检测报告扫描件；其中外壳防护等级达到IP65标准的得0.5分，外壳防护等级达到IP69标准的得</w:t>
            </w:r>
            <w:r>
              <w:rPr>
                <w:rFonts w:hint="eastAsia" w:ascii="宋体" w:hAnsi="宋体" w:eastAsia="宋体" w:cs="宋体"/>
                <w:color w:val="000000"/>
                <w:kern w:val="2"/>
                <w:sz w:val="22"/>
                <w:szCs w:val="22"/>
                <w:lang w:val="en-US" w:eastAsia="zh-CN" w:bidi="ar"/>
              </w:rPr>
              <w:t>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000000"/>
                <w:kern w:val="2"/>
                <w:sz w:val="22"/>
                <w:szCs w:val="22"/>
                <w:lang w:val="en-US" w:eastAsia="zh-CN" w:bidi="ar"/>
              </w:rPr>
              <w:t>【</w:t>
            </w:r>
            <w:r>
              <w:rPr>
                <w:rFonts w:hint="eastAsia" w:ascii="宋体" w:hAnsi="宋体" w:eastAsia="宋体" w:cs="宋体"/>
                <w:b w:val="0"/>
                <w:bCs w:val="0"/>
                <w:color w:val="000000"/>
                <w:kern w:val="2"/>
                <w:sz w:val="22"/>
                <w:szCs w:val="22"/>
                <w:lang w:val="en-US" w:eastAsia="zh-CN" w:bidi="ar"/>
              </w:rPr>
              <w:t>投标人提供产品制造商的以上资料并加盖制造商公章的清晰扫描件或复印件</w:t>
            </w:r>
            <w:r>
              <w:rPr>
                <w:rStyle w:val="12"/>
                <w:rFonts w:hint="eastAsia" w:ascii="宋体" w:hAnsi="宋体" w:eastAsia="宋体" w:cs="宋体"/>
                <w:b w:val="0"/>
                <w:bCs w:val="0"/>
                <w:color w:val="000000"/>
                <w:kern w:val="2"/>
                <w:sz w:val="22"/>
                <w:szCs w:val="2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2"/>
                <w:sz w:val="22"/>
                <w:szCs w:val="22"/>
                <w:lang w:val="en-US" w:eastAsia="zh-CN" w:bidi="ar"/>
              </w:rPr>
              <w:t>2.11</w:t>
            </w:r>
          </w:p>
        </w:tc>
        <w:tc>
          <w:tcPr>
            <w:tcW w:w="162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0"/>
                <w:sz w:val="22"/>
                <w:szCs w:val="22"/>
                <w:lang w:val="en-US" w:eastAsia="zh-CN" w:bidi="ar"/>
              </w:rPr>
              <w:t>项目实施方案</w:t>
            </w:r>
          </w:p>
        </w:tc>
        <w:tc>
          <w:tcPr>
            <w:tcW w:w="704"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宋体" w:hAnsi="宋体" w:eastAsia="宋体" w:cs="宋体"/>
                <w:b/>
                <w:bCs/>
                <w:color w:val="FF0000"/>
                <w:kern w:val="2"/>
                <w:sz w:val="22"/>
                <w:szCs w:val="22"/>
                <w:lang w:val="en-US"/>
              </w:rPr>
            </w:pPr>
            <w:r>
              <w:rPr>
                <w:rFonts w:hint="eastAsia" w:ascii="宋体" w:hAnsi="宋体" w:eastAsia="宋体" w:cs="宋体"/>
                <w:b/>
                <w:bCs/>
                <w:color w:val="FF0000"/>
                <w:kern w:val="0"/>
                <w:sz w:val="22"/>
                <w:szCs w:val="22"/>
                <w:lang w:val="en-US" w:eastAsia="zh-CN" w:bidi="ar"/>
              </w:rPr>
              <w:t>12</w:t>
            </w:r>
          </w:p>
        </w:tc>
        <w:tc>
          <w:tcPr>
            <w:tcW w:w="61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color w:val="FF0000"/>
                <w:kern w:val="0"/>
                <w:sz w:val="22"/>
                <w:szCs w:val="22"/>
                <w:lang w:val="en-US" w:eastAsia="zh-CN" w:bidi="ar"/>
              </w:rPr>
              <w:t>比较各投标人的整体服务方案，包括</w:t>
            </w:r>
            <w:r>
              <w:rPr>
                <w:rFonts w:hint="eastAsia" w:ascii="宋体" w:hAnsi="宋体" w:eastAsia="宋体" w:cs="宋体"/>
                <w:iCs w:val="0"/>
                <w:color w:val="FF0000"/>
                <w:kern w:val="0"/>
                <w:sz w:val="21"/>
                <w:szCs w:val="21"/>
                <w:lang w:val="en-US" w:eastAsia="zh-CN" w:bidi="ar"/>
              </w:rPr>
              <w:t>但不限于以下几点：</w:t>
            </w:r>
          </w:p>
          <w:p>
            <w:pPr>
              <w:keepNext w:val="0"/>
              <w:keepLines w:val="0"/>
              <w:widowControl/>
              <w:numPr>
                <w:ilvl w:val="0"/>
                <w:numId w:val="2"/>
              </w:numPr>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bidi="ar"/>
              </w:rPr>
              <w:t>人员、物资配置方案（3分）；</w:t>
            </w:r>
          </w:p>
          <w:p>
            <w:pPr>
              <w:keepNext w:val="0"/>
              <w:keepLines w:val="0"/>
              <w:widowControl/>
              <w:numPr>
                <w:ilvl w:val="0"/>
                <w:numId w:val="2"/>
              </w:numPr>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bidi="ar"/>
              </w:rPr>
              <w:t>供货安装方案（3分）；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bidi="ar"/>
              </w:rPr>
              <w:t>3、调试培训方案（3分）；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bidi="ar"/>
              </w:rPr>
              <w:t>4、验收方案（3分）；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bidi="ar"/>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bidi="ar"/>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bidi="ar"/>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bidi="ar"/>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Calibri" w:hAnsi="Calibri" w:eastAsia="宋体" w:cs="Times New Roman"/>
                <w:color w:val="FF0000"/>
                <w:kern w:val="2"/>
                <w:sz w:val="21"/>
                <w:szCs w:val="21"/>
              </w:rPr>
            </w:pPr>
            <w:r>
              <w:rPr>
                <w:rFonts w:hint="eastAsia" w:ascii="宋体" w:hAnsi="宋体" w:eastAsia="宋体" w:cs="宋体"/>
                <w:iCs w:val="0"/>
                <w:color w:val="FF0000"/>
                <w:kern w:val="0"/>
                <w:sz w:val="21"/>
                <w:szCs w:val="21"/>
                <w:lang w:val="en-US" w:eastAsia="zh-CN" w:bidi="ar"/>
              </w:rPr>
              <w:t>对上述4项评审内容进行打分，每项评审内容完全满足（1）－（3）项评审标准的得</w:t>
            </w:r>
            <w:r>
              <w:rPr>
                <w:rFonts w:hint="default" w:ascii="Calibri" w:hAnsi="Calibri" w:eastAsia="宋体" w:cs="Calibri"/>
                <w:iCs w:val="0"/>
                <w:color w:val="FF0000"/>
                <w:kern w:val="0"/>
                <w:sz w:val="21"/>
                <w:szCs w:val="21"/>
                <w:lang w:val="en-US" w:eastAsia="zh-CN" w:bidi="ar"/>
              </w:rPr>
              <w:t>3</w:t>
            </w:r>
            <w:r>
              <w:rPr>
                <w:rFonts w:hint="eastAsia" w:ascii="宋体" w:hAnsi="宋体" w:eastAsia="宋体" w:cs="宋体"/>
                <w:iCs w:val="0"/>
                <w:color w:val="FF0000"/>
                <w:kern w:val="0"/>
                <w:sz w:val="21"/>
                <w:szCs w:val="21"/>
                <w:lang w:val="en-US" w:eastAsia="zh-CN" w:bidi="ar"/>
              </w:rPr>
              <w:t>分，满足2项的得</w:t>
            </w:r>
            <w:r>
              <w:rPr>
                <w:rFonts w:hint="default" w:ascii="Calibri" w:hAnsi="Calibri" w:eastAsia="宋体" w:cs="Calibri"/>
                <w:iCs w:val="0"/>
                <w:color w:val="FF0000"/>
                <w:kern w:val="0"/>
                <w:sz w:val="21"/>
                <w:szCs w:val="21"/>
                <w:lang w:val="en-US" w:eastAsia="zh-CN" w:bidi="ar"/>
              </w:rPr>
              <w:t>2</w:t>
            </w:r>
            <w:r>
              <w:rPr>
                <w:rFonts w:hint="eastAsia" w:ascii="宋体" w:hAnsi="宋体" w:eastAsia="宋体" w:cs="宋体"/>
                <w:iCs w:val="0"/>
                <w:color w:val="FF0000"/>
                <w:kern w:val="0"/>
                <w:sz w:val="21"/>
                <w:szCs w:val="21"/>
                <w:lang w:val="en-US" w:eastAsia="zh-CN" w:bidi="ar"/>
              </w:rPr>
              <w:t>分，满足1项的得</w:t>
            </w:r>
            <w:r>
              <w:rPr>
                <w:rFonts w:hint="default" w:ascii="Calibri" w:hAnsi="Calibri" w:eastAsia="宋体" w:cs="Calibri"/>
                <w:iCs w:val="0"/>
                <w:color w:val="FF0000"/>
                <w:kern w:val="0"/>
                <w:sz w:val="21"/>
                <w:szCs w:val="21"/>
                <w:lang w:val="en-US" w:eastAsia="zh-CN" w:bidi="ar"/>
              </w:rPr>
              <w:t>1</w:t>
            </w:r>
            <w:r>
              <w:rPr>
                <w:rFonts w:hint="eastAsia" w:ascii="宋体" w:hAnsi="宋体" w:eastAsia="宋体" w:cs="宋体"/>
                <w:iCs w:val="0"/>
                <w:color w:val="FF0000"/>
                <w:kern w:val="0"/>
                <w:sz w:val="21"/>
                <w:szCs w:val="21"/>
                <w:lang w:val="en-US" w:eastAsia="zh-CN" w:bidi="ar"/>
              </w:rPr>
              <w:t>分，其他情况不得分。满分为12分。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2"/>
                <w:sz w:val="22"/>
                <w:szCs w:val="22"/>
                <w:lang w:val="en-US" w:eastAsia="zh-CN" w:bidi="ar"/>
              </w:rPr>
              <w:t>2.12</w:t>
            </w:r>
          </w:p>
        </w:tc>
        <w:tc>
          <w:tcPr>
            <w:tcW w:w="16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0"/>
                <w:sz w:val="22"/>
                <w:szCs w:val="22"/>
                <w:lang w:val="en-US" w:eastAsia="zh-CN" w:bidi="ar"/>
              </w:rPr>
              <w:t>质量控制及质量保证措施</w:t>
            </w:r>
          </w:p>
        </w:tc>
        <w:tc>
          <w:tcPr>
            <w:tcW w:w="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lang w:val="en-US" w:eastAsia="zh-CN"/>
              </w:rPr>
            </w:pPr>
            <w:r>
              <w:rPr>
                <w:rFonts w:hint="eastAsia" w:ascii="宋体" w:hAnsi="宋体" w:eastAsia="宋体" w:cs="宋体"/>
                <w:b/>
                <w:bCs/>
                <w:color w:val="FF0000"/>
                <w:kern w:val="2"/>
                <w:sz w:val="22"/>
                <w:szCs w:val="22"/>
                <w:lang w:val="en-US" w:eastAsia="zh-CN"/>
              </w:rPr>
              <w:t>6</w:t>
            </w:r>
          </w:p>
        </w:tc>
        <w:tc>
          <w:tcPr>
            <w:tcW w:w="61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 w:val="0"/>
                <w:bCs w:val="0"/>
                <w:color w:val="FF0000"/>
                <w:kern w:val="0"/>
                <w:sz w:val="22"/>
                <w:szCs w:val="22"/>
                <w:lang w:val="en-US" w:eastAsia="zh-CN" w:bidi="ar"/>
              </w:rPr>
            </w:pPr>
            <w:r>
              <w:rPr>
                <w:rFonts w:hint="eastAsia" w:ascii="宋体" w:hAnsi="宋体" w:eastAsia="宋体" w:cs="宋体"/>
                <w:color w:val="FF0000"/>
                <w:kern w:val="0"/>
                <w:sz w:val="22"/>
                <w:szCs w:val="22"/>
                <w:lang w:val="en-US" w:eastAsia="zh-CN" w:bidi="ar"/>
              </w:rPr>
              <w:t>提供</w:t>
            </w:r>
            <w:r>
              <w:rPr>
                <w:rFonts w:hint="eastAsia" w:ascii="宋体" w:hAnsi="宋体" w:eastAsia="宋体" w:cs="宋体"/>
                <w:b w:val="0"/>
                <w:bCs w:val="0"/>
                <w:color w:val="FF0000"/>
                <w:kern w:val="0"/>
                <w:sz w:val="22"/>
                <w:szCs w:val="22"/>
                <w:lang w:val="en-US" w:eastAsia="zh-CN" w:bidi="ar"/>
              </w:rPr>
              <w:t>质量控制及质量保证措施方案，包括以下内容：</w:t>
            </w:r>
          </w:p>
          <w:p>
            <w:pPr>
              <w:keepNext w:val="0"/>
              <w:keepLines w:val="0"/>
              <w:widowControl/>
              <w:numPr>
                <w:ilvl w:val="0"/>
                <w:numId w:val="3"/>
              </w:numPr>
              <w:suppressLineNumbers w:val="0"/>
              <w:autoSpaceDE w:val="0"/>
              <w:autoSpaceDN/>
              <w:adjustRightInd w:val="0"/>
              <w:snapToGrid w:val="0"/>
              <w:spacing w:before="0" w:beforeAutospacing="0" w:after="0" w:afterAutospacing="0" w:line="360" w:lineRule="auto"/>
              <w:ind w:left="0" w:leftChars="0" w:right="0" w:rightChars="0"/>
              <w:jc w:val="left"/>
              <w:rPr>
                <w:rFonts w:hint="eastAsia" w:ascii="宋体" w:hAnsi="宋体" w:eastAsia="宋体" w:cs="宋体"/>
                <w:color w:val="FF0000"/>
                <w:kern w:val="0"/>
                <w:sz w:val="22"/>
                <w:szCs w:val="22"/>
                <w:lang w:val="en-US" w:eastAsia="zh-CN" w:bidi="ar"/>
              </w:rPr>
            </w:pPr>
            <w:r>
              <w:rPr>
                <w:rFonts w:hint="eastAsia" w:ascii="宋体" w:hAnsi="宋体" w:eastAsia="宋体" w:cs="宋体"/>
                <w:b w:val="0"/>
                <w:bCs w:val="0"/>
                <w:color w:val="FF0000"/>
                <w:kern w:val="0"/>
                <w:sz w:val="22"/>
                <w:szCs w:val="22"/>
                <w:lang w:val="en-US" w:eastAsia="zh-CN" w:bidi="ar"/>
              </w:rPr>
              <w:t>质量保障标准</w:t>
            </w:r>
            <w:r>
              <w:rPr>
                <w:rFonts w:hint="eastAsia" w:ascii="宋体" w:hAnsi="宋体" w:eastAsia="宋体" w:cs="宋体"/>
                <w:color w:val="FF0000"/>
                <w:kern w:val="0"/>
                <w:sz w:val="22"/>
                <w:szCs w:val="22"/>
                <w:lang w:val="en-US" w:eastAsia="zh-CN" w:bidi="ar"/>
              </w:rPr>
              <w:t>。</w:t>
            </w:r>
          </w:p>
          <w:p>
            <w:pPr>
              <w:keepNext w:val="0"/>
              <w:keepLines w:val="0"/>
              <w:widowControl/>
              <w:numPr>
                <w:ilvl w:val="0"/>
                <w:numId w:val="3"/>
              </w:numPr>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eastAsia="zh-CN"/>
              </w:rPr>
              <w:t>质量保证具体措施。</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color w:val="FF0000"/>
                <w:kern w:val="2"/>
                <w:sz w:val="22"/>
                <w:szCs w:val="22"/>
              </w:rPr>
            </w:pPr>
            <w:r>
              <w:rPr>
                <w:rFonts w:hint="eastAsia" w:ascii="宋体" w:hAnsi="宋体" w:eastAsia="宋体" w:cs="宋体"/>
                <w:bCs/>
                <w:iCs w:val="0"/>
                <w:color w:val="FF0000"/>
                <w:kern w:val="0"/>
                <w:sz w:val="21"/>
                <w:szCs w:val="21"/>
                <w:lang w:val="en-US" w:eastAsia="zh-CN" w:bidi="ar"/>
              </w:rPr>
              <w:t>对上述2项评审内容进行打分，每项评审内容完全满足（1）－（3）项评审标准的得3分，满足2项的得2分，满足1项的得1分，其他情况不得分。满分为6分。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宋体" w:hAnsi="宋体" w:eastAsia="宋体" w:cs="宋体"/>
                <w:b/>
                <w:bCs/>
                <w:color w:val="FF0000"/>
                <w:kern w:val="2"/>
                <w:sz w:val="22"/>
                <w:szCs w:val="22"/>
                <w:lang w:val="en-US" w:eastAsia="zh-CN" w:bidi="ar"/>
              </w:rPr>
            </w:pPr>
            <w:r>
              <w:rPr>
                <w:rFonts w:hint="eastAsia" w:ascii="宋体" w:hAnsi="宋体" w:eastAsia="宋体" w:cs="宋体"/>
                <w:b/>
                <w:bCs/>
                <w:color w:val="FF0000"/>
                <w:kern w:val="2"/>
                <w:sz w:val="22"/>
                <w:szCs w:val="22"/>
                <w:lang w:val="en-US" w:eastAsia="zh-CN" w:bidi="ar"/>
              </w:rPr>
              <w:t>2.13</w:t>
            </w:r>
          </w:p>
        </w:tc>
        <w:tc>
          <w:tcPr>
            <w:tcW w:w="16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0"/>
                <w:sz w:val="22"/>
                <w:szCs w:val="22"/>
                <w:lang w:val="en-US" w:eastAsia="zh-CN" w:bidi="ar"/>
              </w:rPr>
            </w:pPr>
            <w:r>
              <w:rPr>
                <w:rFonts w:hint="eastAsia" w:ascii="宋体" w:hAnsi="宋体" w:eastAsia="宋体" w:cs="宋体"/>
                <w:b/>
                <w:bCs/>
                <w:color w:val="FF0000"/>
                <w:kern w:val="0"/>
                <w:sz w:val="22"/>
                <w:szCs w:val="22"/>
                <w:lang w:val="en-US" w:eastAsia="zh-CN" w:bidi="ar"/>
              </w:rPr>
              <w:t>售后服务方案</w:t>
            </w:r>
          </w:p>
        </w:tc>
        <w:tc>
          <w:tcPr>
            <w:tcW w:w="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default" w:ascii="宋体" w:hAnsi="宋体" w:eastAsia="宋体" w:cs="宋体"/>
                <w:b/>
                <w:bCs/>
                <w:color w:val="FF0000"/>
                <w:kern w:val="2"/>
                <w:sz w:val="22"/>
                <w:szCs w:val="22"/>
                <w:lang w:val="en-US" w:eastAsia="zh-CN"/>
              </w:rPr>
            </w:pPr>
            <w:r>
              <w:rPr>
                <w:rFonts w:hint="eastAsia" w:ascii="宋体" w:hAnsi="宋体" w:eastAsia="宋体" w:cs="宋体"/>
                <w:b/>
                <w:bCs/>
                <w:color w:val="FF0000"/>
                <w:kern w:val="2"/>
                <w:sz w:val="22"/>
                <w:szCs w:val="22"/>
                <w:lang w:val="en-US" w:eastAsia="zh-CN"/>
              </w:rPr>
              <w:t>6</w:t>
            </w:r>
          </w:p>
        </w:tc>
        <w:tc>
          <w:tcPr>
            <w:tcW w:w="61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autoSpaceDE w:val="0"/>
              <w:autoSpaceDN/>
              <w:adjustRightInd w:val="0"/>
              <w:snapToGrid w:val="0"/>
              <w:spacing w:before="0" w:beforeAutospacing="0" w:after="0" w:afterAutospacing="0" w:line="360" w:lineRule="auto"/>
              <w:ind w:left="0" w:leftChars="0" w:right="0" w:rightChars="0"/>
              <w:jc w:val="left"/>
              <w:rPr>
                <w:rFonts w:hint="eastAsia" w:ascii="宋体" w:hAnsi="宋体" w:eastAsia="宋体" w:cs="宋体"/>
                <w:color w:val="FF0000"/>
                <w:kern w:val="0"/>
                <w:sz w:val="22"/>
                <w:szCs w:val="22"/>
                <w:lang w:val="en-US" w:eastAsia="zh-CN" w:bidi="ar"/>
              </w:rPr>
            </w:pPr>
            <w:r>
              <w:rPr>
                <w:rFonts w:hint="eastAsia" w:ascii="宋体" w:hAnsi="宋体" w:eastAsia="宋体" w:cs="宋体"/>
                <w:color w:val="FF0000"/>
                <w:kern w:val="0"/>
                <w:sz w:val="22"/>
                <w:szCs w:val="22"/>
                <w:lang w:val="en-US" w:eastAsia="zh-CN" w:bidi="ar"/>
              </w:rPr>
              <w:t>投标人按照如下要求提供售后服务方案，包括以下内容：</w:t>
            </w:r>
          </w:p>
          <w:p>
            <w:pPr>
              <w:keepNext w:val="0"/>
              <w:keepLines w:val="0"/>
              <w:widowControl/>
              <w:numPr>
                <w:ilvl w:val="0"/>
                <w:numId w:val="0"/>
              </w:numPr>
              <w:suppressLineNumbers w:val="0"/>
              <w:autoSpaceDE w:val="0"/>
              <w:autoSpaceDN/>
              <w:adjustRightInd w:val="0"/>
              <w:snapToGrid w:val="0"/>
              <w:spacing w:before="0" w:beforeAutospacing="0" w:after="0" w:afterAutospacing="0" w:line="360" w:lineRule="auto"/>
              <w:ind w:left="0" w:leftChars="0" w:right="0" w:rightChars="0"/>
              <w:jc w:val="left"/>
              <w:rPr>
                <w:rFonts w:hint="eastAsia" w:ascii="宋体" w:hAnsi="宋体" w:eastAsia="宋体" w:cs="宋体"/>
                <w:color w:val="FF0000"/>
                <w:kern w:val="0"/>
                <w:sz w:val="22"/>
                <w:szCs w:val="22"/>
                <w:lang w:val="en-US" w:eastAsia="zh-CN" w:bidi="ar"/>
              </w:rPr>
            </w:pPr>
            <w:r>
              <w:rPr>
                <w:rFonts w:hint="eastAsia" w:ascii="宋体" w:hAnsi="宋体" w:eastAsia="宋体" w:cs="宋体"/>
                <w:color w:val="FF0000"/>
                <w:kern w:val="0"/>
                <w:sz w:val="22"/>
                <w:szCs w:val="22"/>
                <w:lang w:val="en-US" w:eastAsia="zh-CN" w:bidi="ar"/>
              </w:rPr>
              <w:t>1.售后服务人员、物资保障措施；</w:t>
            </w:r>
          </w:p>
          <w:p>
            <w:pPr>
              <w:keepNext w:val="0"/>
              <w:keepLines w:val="0"/>
              <w:widowControl/>
              <w:numPr>
                <w:ilvl w:val="0"/>
                <w:numId w:val="0"/>
              </w:numPr>
              <w:suppressLineNumbers w:val="0"/>
              <w:autoSpaceDE w:val="0"/>
              <w:autoSpaceDN/>
              <w:adjustRightInd w:val="0"/>
              <w:snapToGrid w:val="0"/>
              <w:spacing w:before="0" w:beforeAutospacing="0" w:after="0" w:afterAutospacing="0" w:line="360" w:lineRule="auto"/>
              <w:ind w:left="0" w:right="0" w:rightChars="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bidi="ar"/>
              </w:rPr>
              <w:t>2.售后服务故障应急处理方案；</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bidi="ar"/>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bCs/>
                <w:iCs w:val="0"/>
                <w:color w:val="FF0000"/>
                <w:kern w:val="0"/>
                <w:sz w:val="21"/>
                <w:szCs w:val="21"/>
                <w:lang w:val="en-US" w:eastAsia="zh-CN" w:bidi="ar"/>
              </w:rPr>
            </w:pPr>
            <w:r>
              <w:rPr>
                <w:rFonts w:hint="eastAsia" w:ascii="宋体" w:hAnsi="宋体" w:eastAsia="宋体" w:cs="宋体"/>
                <w:bCs/>
                <w:iCs w:val="0"/>
                <w:color w:val="FF0000"/>
                <w:kern w:val="0"/>
                <w:sz w:val="21"/>
                <w:szCs w:val="21"/>
                <w:lang w:val="en-US" w:eastAsia="zh-CN" w:bidi="ar"/>
              </w:rPr>
              <w:t>对上述2项评审内容进行打分，每项评审内容完全满足（1）－（3）项评审标准的得3分，满足2项的得2分，满足1项的得1分，其他情况不得分。满分为6分。</w:t>
            </w:r>
          </w:p>
        </w:tc>
      </w:tr>
    </w:tbl>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0"/>
          <w:sz w:val="22"/>
          <w:szCs w:val="22"/>
          <w:lang w:val="en-US" w:eastAsia="zh-CN" w:bidi="ar"/>
        </w:rPr>
        <w:t>说明：以上评分标准中涉及到的证明材料（如证书、证件、检测报告、彩页或截图等）须提供完整清晰的扫描件或并加盖公章，否则不得分。</w:t>
      </w:r>
    </w:p>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4"/>
          <w:szCs w:val="24"/>
        </w:rPr>
      </w:pPr>
      <w:r>
        <w:rPr>
          <w:rFonts w:hint="eastAsia" w:ascii="宋体" w:hAnsi="宋体" w:eastAsia="宋体" w:cs="宋体"/>
          <w:b/>
          <w:bCs/>
          <w:color w:val="000000"/>
          <w:kern w:val="2"/>
          <w:sz w:val="28"/>
          <w:szCs w:val="28"/>
          <w:lang w:val="en-US" w:eastAsia="zh-CN" w:bidi="ar"/>
        </w:rPr>
        <w:t>3、价格评议（35分）</w:t>
      </w:r>
    </w:p>
    <w:tbl>
      <w:tblPr>
        <w:tblStyle w:val="8"/>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613"/>
        <w:gridCol w:w="712"/>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2"/>
                <w:sz w:val="22"/>
                <w:szCs w:val="22"/>
                <w:lang w:val="en-US" w:eastAsia="zh-CN" w:bidi="ar"/>
              </w:rPr>
              <w:t>序号</w:t>
            </w:r>
          </w:p>
        </w:tc>
        <w:tc>
          <w:tcPr>
            <w:tcW w:w="1613"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2"/>
                <w:sz w:val="22"/>
                <w:szCs w:val="22"/>
                <w:lang w:val="en-US" w:eastAsia="zh-CN" w:bidi="ar"/>
              </w:rPr>
              <w:t>评审因素</w:t>
            </w:r>
          </w:p>
        </w:tc>
        <w:tc>
          <w:tcPr>
            <w:tcW w:w="712"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b/>
                <w:bCs/>
                <w:color w:val="000000"/>
                <w:kern w:val="0"/>
                <w:sz w:val="22"/>
                <w:szCs w:val="22"/>
              </w:rPr>
            </w:pPr>
            <w:r>
              <w:rPr>
                <w:rFonts w:hint="eastAsia" w:ascii="宋体" w:hAnsi="宋体" w:eastAsia="宋体" w:cs="宋体"/>
                <w:b/>
                <w:bCs/>
                <w:color w:val="000000"/>
                <w:kern w:val="2"/>
                <w:sz w:val="22"/>
                <w:szCs w:val="22"/>
                <w:lang w:val="en-US" w:eastAsia="zh-CN" w:bidi="ar"/>
              </w:rPr>
              <w:t>分值</w:t>
            </w:r>
          </w:p>
        </w:tc>
        <w:tc>
          <w:tcPr>
            <w:tcW w:w="7190"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000000"/>
                <w:kern w:val="2"/>
                <w:sz w:val="22"/>
                <w:szCs w:val="22"/>
              </w:rPr>
            </w:pPr>
            <w:r>
              <w:rPr>
                <w:rFonts w:hint="eastAsia" w:ascii="宋体" w:hAnsi="宋体" w:eastAsia="宋体" w:cs="宋体"/>
                <w:b/>
                <w:bCs/>
                <w:color w:val="000000"/>
                <w:kern w:val="2"/>
                <w:sz w:val="22"/>
                <w:szCs w:val="22"/>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3"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rightChars="0"/>
              <w:jc w:val="center"/>
              <w:rPr>
                <w:rFonts w:hint="eastAsia" w:ascii="宋体" w:hAnsi="宋体" w:eastAsia="宋体" w:cs="Times New Roman"/>
                <w:b/>
                <w:bCs/>
                <w:color w:val="000000"/>
                <w:kern w:val="2"/>
                <w:sz w:val="22"/>
                <w:szCs w:val="22"/>
              </w:rPr>
            </w:pPr>
            <w:r>
              <w:rPr>
                <w:rFonts w:hint="eastAsia" w:ascii="宋体" w:hAnsi="宋体" w:eastAsia="宋体" w:cs="宋体"/>
                <w:b/>
                <w:bCs/>
                <w:color w:val="000000"/>
                <w:kern w:val="2"/>
                <w:sz w:val="22"/>
                <w:szCs w:val="22"/>
                <w:lang w:val="en-US" w:eastAsia="zh-CN" w:bidi="ar"/>
              </w:rPr>
              <w:t>3.1</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Times New Roman"/>
                <w:b/>
                <w:bCs/>
                <w:color w:val="000000"/>
                <w:kern w:val="2"/>
                <w:sz w:val="22"/>
                <w:szCs w:val="22"/>
              </w:rPr>
            </w:pPr>
            <w:r>
              <w:rPr>
                <w:rFonts w:hint="eastAsia" w:ascii="宋体" w:hAnsi="宋体" w:eastAsia="宋体" w:cs="宋体"/>
                <w:b/>
                <w:bCs/>
                <w:color w:val="000000"/>
                <w:kern w:val="2"/>
                <w:sz w:val="22"/>
                <w:szCs w:val="22"/>
                <w:lang w:val="en-US" w:eastAsia="zh-CN" w:bidi="ar"/>
              </w:rPr>
              <w:t>价格评议</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Times New Roman"/>
                <w:color w:val="000000"/>
                <w:kern w:val="0"/>
                <w:sz w:val="22"/>
                <w:szCs w:val="22"/>
              </w:rPr>
            </w:pPr>
            <w:r>
              <w:rPr>
                <w:rFonts w:hint="eastAsia" w:ascii="宋体" w:hAnsi="宋体" w:eastAsia="宋体" w:cs="宋体"/>
                <w:b/>
                <w:bCs/>
                <w:color w:val="000000"/>
                <w:kern w:val="0"/>
                <w:sz w:val="22"/>
                <w:szCs w:val="22"/>
                <w:lang w:val="en-US" w:eastAsia="zh-CN" w:bidi="ar"/>
              </w:rPr>
              <w:t>35</w:t>
            </w:r>
          </w:p>
        </w:tc>
        <w:tc>
          <w:tcPr>
            <w:tcW w:w="7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20" w:lineRule="exact"/>
              <w:ind w:left="0" w:right="0"/>
              <w:jc w:val="both"/>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bidi="ar"/>
              </w:rPr>
              <w:t>评标委员会只对符合性审查合格的投标文件进行价格评议，报价分采用低价优先法计算，即满足招标文件要求且投标价格</w:t>
            </w:r>
            <w:r>
              <w:rPr>
                <w:rFonts w:hint="eastAsia" w:ascii="宋体" w:hAnsi="宋体" w:eastAsia="宋体" w:cs="宋体"/>
                <w:b/>
                <w:bCs w:val="0"/>
                <w:color w:val="000000"/>
                <w:kern w:val="2"/>
                <w:sz w:val="22"/>
                <w:szCs w:val="22"/>
                <w:lang w:val="en-US" w:eastAsia="zh-CN" w:bidi="ar"/>
              </w:rPr>
              <w:t>（落实政府采购政策进行价格调整的，以调整后的价格计算）</w:t>
            </w:r>
            <w:r>
              <w:rPr>
                <w:rFonts w:hint="eastAsia" w:ascii="宋体" w:hAnsi="宋体" w:eastAsia="宋体" w:cs="宋体"/>
                <w:color w:val="000000"/>
                <w:kern w:val="2"/>
                <w:sz w:val="22"/>
                <w:szCs w:val="22"/>
                <w:lang w:val="en-US" w:eastAsia="zh-CN" w:bidi="ar"/>
              </w:rPr>
              <w:t>最低的投标报价为评标基准价，其价格分为满分。其他投标人的价格分按照下列公式计算：报价得分=(评标基准价／投标报价)×35分</w:t>
            </w:r>
          </w:p>
        </w:tc>
      </w:tr>
    </w:tbl>
    <w:p>
      <w:pPr>
        <w:pStyle w:val="7"/>
        <w:keepNext w:val="0"/>
        <w:keepLines w:val="0"/>
        <w:widowControl w:val="0"/>
        <w:suppressLineNumbers w:val="0"/>
        <w:spacing w:before="50" w:beforeLines="50" w:beforeAutospacing="0" w:after="50" w:afterLines="50" w:afterAutospacing="0" w:line="360" w:lineRule="auto"/>
        <w:ind w:right="0" w:firstLine="642" w:firstLineChars="200"/>
        <w:jc w:val="both"/>
        <w:rPr>
          <w:rFonts w:hint="default" w:eastAsia="宋体" w:cs="Times New Roman"/>
          <w:b/>
          <w:bCs/>
          <w:color w:val="000000"/>
          <w:kern w:val="2"/>
          <w:sz w:val="32"/>
          <w:szCs w:val="32"/>
          <w:lang w:val="en-US" w:eastAsia="zh-CN" w:bidi="ar"/>
        </w:rPr>
      </w:pPr>
      <w:r>
        <w:rPr>
          <w:rFonts w:hint="default" w:eastAsia="宋体" w:cs="Times New Roman"/>
          <w:b/>
          <w:bCs/>
          <w:color w:val="000000"/>
          <w:kern w:val="2"/>
          <w:sz w:val="32"/>
          <w:szCs w:val="32"/>
          <w:lang w:val="en-US" w:eastAsia="zh-CN" w:bidi="ar"/>
        </w:rPr>
        <w:t xml:space="preserve"> </w:t>
      </w:r>
    </w:p>
    <w:p>
      <w:pPr>
        <w:pStyle w:val="7"/>
        <w:keepNext w:val="0"/>
        <w:keepLines w:val="0"/>
        <w:widowControl w:val="0"/>
        <w:suppressLineNumbers w:val="0"/>
        <w:spacing w:before="50" w:beforeLines="50" w:beforeAutospacing="0" w:after="50" w:afterLines="50" w:afterAutospacing="0" w:line="360" w:lineRule="auto"/>
        <w:ind w:right="0" w:firstLine="642" w:firstLineChars="200"/>
        <w:jc w:val="both"/>
        <w:rPr>
          <w:rFonts w:hint="eastAsia" w:eastAsia="宋体" w:cs="Times New Roman"/>
          <w:b/>
          <w:bCs/>
          <w:color w:val="000000"/>
          <w:kern w:val="2"/>
          <w:sz w:val="32"/>
          <w:szCs w:val="32"/>
          <w:lang w:val="en-US" w:eastAsia="zh-CN" w:bidi="ar"/>
        </w:rPr>
      </w:pPr>
      <w:r>
        <w:rPr>
          <w:rFonts w:hint="eastAsia" w:eastAsia="宋体" w:cs="Times New Roman"/>
          <w:b/>
          <w:bCs/>
          <w:color w:val="000000"/>
          <w:kern w:val="2"/>
          <w:sz w:val="32"/>
          <w:szCs w:val="32"/>
          <w:lang w:val="en-US" w:eastAsia="zh-CN" w:bidi="ar"/>
        </w:rPr>
        <w:t>现修改为：</w:t>
      </w:r>
    </w:p>
    <w:p>
      <w:pPr>
        <w:pStyle w:val="7"/>
        <w:keepNext w:val="0"/>
        <w:keepLines w:val="0"/>
        <w:widowControl w:val="0"/>
        <w:suppressLineNumbers w:val="0"/>
        <w:spacing w:before="50" w:beforeLines="50" w:beforeAutospacing="0" w:after="50" w:afterLines="50" w:afterAutospacing="0" w:line="360" w:lineRule="auto"/>
        <w:ind w:right="0" w:firstLine="480" w:firstLineChars="200"/>
        <w:jc w:val="both"/>
        <w:rPr>
          <w:rFonts w:hint="default" w:ascii="宋体" w:hAnsi="宋体" w:eastAsia="宋体" w:cs="宋体"/>
          <w:color w:val="FF0000"/>
          <w:kern w:val="2"/>
          <w:sz w:val="24"/>
          <w:szCs w:val="24"/>
          <w:lang w:val="en-US" w:eastAsia="zh-CN" w:bidi="ar"/>
        </w:rPr>
      </w:pPr>
      <w:r>
        <w:rPr>
          <w:rFonts w:hint="eastAsia" w:ascii="宋体" w:hAnsi="宋体" w:cs="宋体"/>
          <w:color w:val="FF0000"/>
          <w:kern w:val="2"/>
          <w:sz w:val="24"/>
          <w:szCs w:val="24"/>
          <w:lang w:val="en-US" w:eastAsia="zh-CN" w:bidi="ar"/>
        </w:rPr>
        <w:t>对评审因素“投标人业绩”评分标准中删除了中标通知书要求，对技术、服务评议</w:t>
      </w:r>
      <w:r>
        <w:rPr>
          <w:rFonts w:hint="eastAsia" w:ascii="宋体" w:hAnsi="宋体" w:eastAsia="宋体" w:cs="宋体"/>
          <w:color w:val="FF0000"/>
          <w:kern w:val="2"/>
          <w:sz w:val="24"/>
          <w:szCs w:val="24"/>
          <w:lang w:val="en-US" w:eastAsia="zh-CN" w:bidi="ar"/>
        </w:rPr>
        <w:t>删除了评分标准中投标人公章和加盖制造商公章的要求，对评审因素“2.9 油烟净化一体机”评分标准进行了修改。</w:t>
      </w:r>
      <w:r>
        <w:rPr>
          <w:rFonts w:hint="eastAsia" w:ascii="宋体" w:hAnsi="宋体" w:cs="宋体"/>
          <w:color w:val="FF0000"/>
          <w:kern w:val="2"/>
          <w:sz w:val="24"/>
          <w:szCs w:val="24"/>
          <w:lang w:val="en-US" w:eastAsia="zh-CN" w:bidi="ar"/>
        </w:rPr>
        <w:t>具体如下：</w:t>
      </w:r>
    </w:p>
    <w:p>
      <w:pPr>
        <w:ind w:firstLine="480" w:firstLineChars="200"/>
        <w:rPr>
          <w:rFonts w:ascii="宋体" w:hAnsi="宋体"/>
          <w:color w:val="auto"/>
          <w:sz w:val="24"/>
          <w:highlight w:val="none"/>
          <w:lang w:val="zh-CN"/>
        </w:rPr>
      </w:pPr>
      <w:r>
        <w:rPr>
          <w:rFonts w:hint="eastAsia" w:ascii="宋体" w:hAnsi="宋体"/>
          <w:bCs/>
          <w:color w:val="auto"/>
          <w:sz w:val="24"/>
          <w:highlight w:val="none"/>
          <w:lang w:val="zh-CN"/>
        </w:rPr>
        <w:t>说明</w:t>
      </w:r>
      <w:r>
        <w:rPr>
          <w:rFonts w:hint="eastAsia" w:ascii="宋体" w:hAnsi="宋体"/>
          <w:color w:val="auto"/>
          <w:sz w:val="24"/>
          <w:highlight w:val="none"/>
          <w:lang w:val="zh-CN"/>
        </w:rPr>
        <w:t>：投标人应根据评审因素及评分标准要求提供真实</w:t>
      </w:r>
      <w:r>
        <w:rPr>
          <w:rFonts w:ascii="宋体" w:hAnsi="宋体"/>
          <w:color w:val="auto"/>
          <w:sz w:val="24"/>
          <w:highlight w:val="none"/>
          <w:lang w:val="zh-CN"/>
        </w:rPr>
        <w:t>完整清晰的</w:t>
      </w:r>
      <w:r>
        <w:rPr>
          <w:rFonts w:hint="eastAsia" w:ascii="宋体" w:hAnsi="宋体"/>
          <w:color w:val="auto"/>
          <w:sz w:val="24"/>
          <w:highlight w:val="none"/>
          <w:lang w:val="zh-CN"/>
        </w:rPr>
        <w:t>相关证明材料，否则将会导致对应的评审因素不得分。</w:t>
      </w:r>
    </w:p>
    <w:p>
      <w:pPr>
        <w:ind w:firstLine="481" w:firstLineChars="200"/>
        <w:outlineLvl w:val="2"/>
        <w:rPr>
          <w:rFonts w:hint="eastAsia" w:ascii="宋体" w:hAnsi="宋体"/>
          <w:b/>
          <w:bCs/>
          <w:color w:val="auto"/>
          <w:sz w:val="24"/>
          <w:highlight w:val="none"/>
          <w:lang w:val="zh-CN"/>
        </w:rPr>
      </w:pPr>
      <w:r>
        <w:rPr>
          <w:rFonts w:hint="eastAsia" w:ascii="宋体" w:hAnsi="宋体"/>
          <w:b/>
          <w:bCs/>
          <w:color w:val="auto"/>
          <w:sz w:val="24"/>
          <w:highlight w:val="none"/>
          <w:lang w:val="zh-CN"/>
        </w:rPr>
        <w:t>评审因素及评分标准</w:t>
      </w:r>
    </w:p>
    <w:p>
      <w:pPr>
        <w:numPr>
          <w:ilvl w:val="0"/>
          <w:numId w:val="0"/>
        </w:numPr>
        <w:spacing w:before="60" w:after="60" w:line="360" w:lineRule="exact"/>
        <w:ind w:leftChars="-13"/>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t>1、</w:t>
      </w:r>
      <w:r>
        <w:rPr>
          <w:rFonts w:hint="eastAsia" w:ascii="宋体" w:hAnsi="宋体" w:eastAsia="宋体" w:cs="Times New Roman"/>
          <w:b/>
          <w:bCs/>
          <w:color w:val="000000" w:themeColor="text1"/>
          <w:sz w:val="28"/>
          <w:szCs w:val="28"/>
          <w:highlight w:val="none"/>
          <w14:textFill>
            <w14:solidFill>
              <w14:schemeClr w14:val="tx1"/>
            </w14:solidFill>
          </w14:textFill>
        </w:rPr>
        <w:t>商务评议（</w:t>
      </w:r>
      <w:r>
        <w:rPr>
          <w:rFonts w:hint="eastAsia" w:ascii="宋体" w:hAnsi="宋体" w:cs="Times New Roman"/>
          <w:b/>
          <w:bCs/>
          <w:color w:val="000000" w:themeColor="text1"/>
          <w:sz w:val="28"/>
          <w:szCs w:val="28"/>
          <w:highlight w:val="none"/>
          <w:lang w:val="en-US" w:eastAsia="zh-CN"/>
          <w14:textFill>
            <w14:solidFill>
              <w14:schemeClr w14:val="tx1"/>
            </w14:solidFill>
          </w14:textFill>
        </w:rPr>
        <w:t>6</w:t>
      </w:r>
      <w:r>
        <w:rPr>
          <w:rFonts w:hint="eastAsia" w:ascii="宋体" w:hAnsi="宋体" w:eastAsia="宋体" w:cs="Courier New"/>
          <w:b/>
          <w:bCs/>
          <w:color w:val="000000" w:themeColor="text1"/>
          <w:sz w:val="28"/>
          <w:szCs w:val="28"/>
          <w:highlight w:val="none"/>
          <w14:textFill>
            <w14:solidFill>
              <w14:schemeClr w14:val="tx1"/>
            </w14:solidFill>
          </w14:textFill>
        </w:rPr>
        <w:t>分</w:t>
      </w:r>
      <w:r>
        <w:rPr>
          <w:rFonts w:hint="eastAsia" w:ascii="宋体" w:hAnsi="宋体" w:eastAsia="宋体" w:cs="Times New Roman"/>
          <w:b/>
          <w:bCs/>
          <w:color w:val="000000" w:themeColor="text1"/>
          <w:sz w:val="28"/>
          <w:szCs w:val="28"/>
          <w:highlight w:val="none"/>
          <w14:textFill>
            <w14:solidFill>
              <w14:schemeClr w14:val="tx1"/>
            </w14:solidFill>
          </w14:textFill>
        </w:rPr>
        <w:t>）</w:t>
      </w:r>
    </w:p>
    <w:tbl>
      <w:tblPr>
        <w:tblStyle w:val="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47"/>
        <w:gridCol w:w="735"/>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序号</w:t>
            </w:r>
          </w:p>
        </w:tc>
        <w:tc>
          <w:tcPr>
            <w:tcW w:w="1547" w:type="dxa"/>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评审因素</w:t>
            </w:r>
          </w:p>
        </w:tc>
        <w:tc>
          <w:tcPr>
            <w:tcW w:w="735" w:type="dxa"/>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分值</w:t>
            </w:r>
          </w:p>
        </w:tc>
        <w:tc>
          <w:tcPr>
            <w:tcW w:w="6166" w:type="dxa"/>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p>
        </w:tc>
        <w:tc>
          <w:tcPr>
            <w:tcW w:w="1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投标人业绩</w:t>
            </w: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4</w:t>
            </w:r>
          </w:p>
        </w:tc>
        <w:tc>
          <w:tcPr>
            <w:tcW w:w="6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textAlignment w:val="center"/>
              <w:rPr>
                <w:rFonts w:hint="eastAsia" w:ascii="宋体" w:hAnsi="宋体" w:eastAsia="宋体" w:cs="宋体"/>
                <w:color w:val="FF0000"/>
                <w:kern w:val="0"/>
                <w:sz w:val="22"/>
                <w:szCs w:val="22"/>
                <w:highlight w:val="none"/>
                <w:lang w:val="en-US" w:eastAsia="zh-CN"/>
              </w:rPr>
            </w:pPr>
            <w:r>
              <w:rPr>
                <w:rFonts w:hint="eastAsia" w:ascii="宋体" w:hAnsi="宋体" w:cs="宋体"/>
                <w:color w:val="FF0000"/>
                <w:kern w:val="0"/>
                <w:sz w:val="22"/>
                <w:szCs w:val="22"/>
                <w:highlight w:val="none"/>
                <w:lang w:val="en-US" w:eastAsia="zh-CN"/>
              </w:rPr>
              <w:t>投标人</w:t>
            </w:r>
            <w:r>
              <w:rPr>
                <w:rFonts w:hint="eastAsia" w:ascii="宋体" w:hAnsi="宋体" w:eastAsia="宋体" w:cs="宋体"/>
                <w:color w:val="FF0000"/>
                <w:kern w:val="0"/>
                <w:sz w:val="22"/>
                <w:szCs w:val="22"/>
                <w:highlight w:val="none"/>
              </w:rPr>
              <w:t>具有20</w:t>
            </w:r>
            <w:r>
              <w:rPr>
                <w:rFonts w:hint="eastAsia" w:ascii="宋体" w:hAnsi="宋体" w:eastAsia="宋体" w:cs="宋体"/>
                <w:color w:val="FF0000"/>
                <w:kern w:val="0"/>
                <w:sz w:val="22"/>
                <w:szCs w:val="22"/>
                <w:highlight w:val="none"/>
                <w:lang w:val="en-US" w:eastAsia="zh-CN"/>
              </w:rPr>
              <w:t>23</w:t>
            </w:r>
            <w:r>
              <w:rPr>
                <w:rFonts w:hint="eastAsia" w:ascii="宋体" w:hAnsi="宋体" w:eastAsia="宋体" w:cs="宋体"/>
                <w:color w:val="FF0000"/>
                <w:kern w:val="0"/>
                <w:sz w:val="22"/>
                <w:szCs w:val="22"/>
                <w:highlight w:val="none"/>
              </w:rPr>
              <w:t>年1月1日以来独立承担过类似厨房设备供货及</w:t>
            </w:r>
            <w:r>
              <w:rPr>
                <w:rFonts w:hint="eastAsia" w:ascii="宋体" w:hAnsi="宋体" w:eastAsia="宋体" w:cs="宋体"/>
                <w:color w:val="FF0000"/>
                <w:kern w:val="0"/>
                <w:sz w:val="22"/>
                <w:szCs w:val="22"/>
                <w:highlight w:val="none"/>
                <w:lang w:val="en-US" w:eastAsia="zh-CN"/>
              </w:rPr>
              <w:t>安装项目的业绩（以合同为准）。每提供一份业绩证明材料得1分，累计最高得4分，不提供不得分。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textAlignment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FF0000"/>
                <w:kern w:val="0"/>
                <w:sz w:val="22"/>
                <w:szCs w:val="22"/>
                <w:highlight w:val="none"/>
                <w:lang w:val="en-US" w:eastAsia="zh-CN"/>
              </w:rPr>
              <w:t>【须附以上材料原件的清晰扫描件或复印件</w:t>
            </w:r>
            <w:r>
              <w:rPr>
                <w:rFonts w:hint="eastAsia" w:ascii="宋体" w:hAnsi="宋体" w:cs="宋体"/>
                <w:color w:val="FF0000"/>
                <w:kern w:val="0"/>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2</w:t>
            </w:r>
          </w:p>
        </w:tc>
        <w:tc>
          <w:tcPr>
            <w:tcW w:w="1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cs="宋体"/>
                <w:b/>
                <w:bCs/>
                <w:color w:val="000000" w:themeColor="text1"/>
                <w:sz w:val="22"/>
                <w:szCs w:val="22"/>
                <w:highlight w:val="none"/>
                <w:lang w:eastAsia="zh-CN"/>
                <w14:textFill>
                  <w14:solidFill>
                    <w14:schemeClr w14:val="tx1"/>
                  </w14:solidFill>
                </w14:textFill>
              </w:rPr>
              <w:t>投标人综合实力</w:t>
            </w: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0"/>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2</w:t>
            </w:r>
          </w:p>
        </w:tc>
        <w:tc>
          <w:tcPr>
            <w:tcW w:w="6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textAlignment w:val="center"/>
              <w:rPr>
                <w:rStyle w:val="13"/>
                <w:rFonts w:hint="eastAsia" w:ascii="宋体" w:hAnsi="宋体" w:eastAsia="宋体" w:cs="宋体"/>
                <w:color w:val="FF0000"/>
                <w:sz w:val="22"/>
                <w:szCs w:val="22"/>
                <w:highlight w:val="none"/>
                <w:lang w:eastAsia="zh-CN"/>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 xml:space="preserve">投标人提供的类似项目业绩具有用户出具的良好评价证明文件，每提供一个用户认可的良好评价证明文件的得 </w:t>
            </w:r>
            <w:r>
              <w:rPr>
                <w:rFonts w:hint="eastAsia" w:ascii="宋体" w:hAnsi="宋体" w:cs="宋体"/>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分，最多得</w:t>
            </w:r>
            <w:r>
              <w:rPr>
                <w:rFonts w:hint="eastAsia" w:ascii="宋体" w:hAnsi="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分。 （需提供用户认可度证明文件，并注明用户联系方式）</w:t>
            </w:r>
          </w:p>
        </w:tc>
      </w:tr>
    </w:tbl>
    <w:p>
      <w:pPr>
        <w:bidi w:val="0"/>
        <w:rPr>
          <w:rFonts w:hint="eastAsia"/>
          <w:lang w:val="en-US" w:eastAsia="zh-CN"/>
        </w:rPr>
      </w:pPr>
    </w:p>
    <w:p>
      <w:pPr>
        <w:shd w:val="clear"/>
        <w:rPr>
          <w:rFonts w:ascii="宋体" w:hAnsi="宋体" w:eastAsia="宋体" w:cs="Times New Roman"/>
          <w:b/>
          <w:bCs/>
          <w:color w:val="000000" w:themeColor="text1"/>
          <w:sz w:val="28"/>
          <w:szCs w:val="28"/>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shd w:val="clear"/>
          <w:lang w:val="en-US" w:eastAsia="zh-CN"/>
          <w14:textFill>
            <w14:solidFill>
              <w14:schemeClr w14:val="tx1"/>
            </w14:solidFill>
          </w14:textFill>
        </w:rPr>
        <w:t>2、</w:t>
      </w:r>
      <w:r>
        <w:rPr>
          <w:rFonts w:hint="eastAsia" w:ascii="宋体" w:hAnsi="宋体" w:eastAsia="宋体" w:cs="Times New Roman"/>
          <w:b/>
          <w:bCs/>
          <w:color w:val="000000" w:themeColor="text1"/>
          <w:sz w:val="28"/>
          <w:szCs w:val="28"/>
          <w:highlight w:val="none"/>
          <w:shd w:val="clear"/>
          <w14:textFill>
            <w14:solidFill>
              <w14:schemeClr w14:val="tx1"/>
            </w14:solidFill>
          </w14:textFill>
        </w:rPr>
        <w:t>技术、服务评议（</w:t>
      </w:r>
      <w:r>
        <w:rPr>
          <w:rFonts w:hint="eastAsia" w:ascii="宋体" w:hAnsi="宋体" w:cs="Times New Roman"/>
          <w:b/>
          <w:bCs/>
          <w:color w:val="000000" w:themeColor="text1"/>
          <w:sz w:val="28"/>
          <w:szCs w:val="28"/>
          <w:highlight w:val="none"/>
          <w:shd w:val="clear"/>
          <w:lang w:val="en-US" w:eastAsia="zh-CN"/>
          <w14:textFill>
            <w14:solidFill>
              <w14:schemeClr w14:val="tx1"/>
            </w14:solidFill>
          </w14:textFill>
        </w:rPr>
        <w:t>59</w:t>
      </w:r>
      <w:r>
        <w:rPr>
          <w:rFonts w:hint="eastAsia" w:ascii="宋体" w:hAnsi="宋体" w:eastAsia="宋体" w:cs="Times New Roman"/>
          <w:b/>
          <w:bCs/>
          <w:color w:val="000000" w:themeColor="text1"/>
          <w:sz w:val="28"/>
          <w:szCs w:val="28"/>
          <w:highlight w:val="none"/>
          <w:shd w:val="clear"/>
          <w14:textFill>
            <w14:solidFill>
              <w14:schemeClr w14:val="tx1"/>
            </w14:solidFill>
          </w14:textFill>
        </w:rPr>
        <w:t>分）</w:t>
      </w:r>
    </w:p>
    <w:tbl>
      <w:tblPr>
        <w:tblStyle w:val="8"/>
        <w:tblW w:w="9182" w:type="dxa"/>
        <w:jc w:val="center"/>
        <w:tblLayout w:type="fixed"/>
        <w:tblCellMar>
          <w:top w:w="0" w:type="dxa"/>
          <w:left w:w="108" w:type="dxa"/>
          <w:bottom w:w="0" w:type="dxa"/>
          <w:right w:w="108" w:type="dxa"/>
        </w:tblCellMar>
      </w:tblPr>
      <w:tblGrid>
        <w:gridCol w:w="690"/>
        <w:gridCol w:w="1626"/>
        <w:gridCol w:w="704"/>
        <w:gridCol w:w="6162"/>
      </w:tblGrid>
      <w:tr>
        <w:tblPrEx>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序号</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评审因素</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分值</w:t>
            </w:r>
          </w:p>
        </w:tc>
        <w:tc>
          <w:tcPr>
            <w:tcW w:w="6162" w:type="dxa"/>
            <w:vMerge w:val="restart"/>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评分标准</w:t>
            </w:r>
          </w:p>
        </w:tc>
      </w:tr>
      <w:tr>
        <w:tblPrEx>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多功能调料</w:t>
            </w:r>
            <w:r>
              <w:rPr>
                <w:rFonts w:hint="eastAsia" w:ascii="宋体" w:hAnsi="宋体" w:eastAsia="宋体" w:cs="宋体"/>
                <w:b/>
                <w:bCs/>
                <w:color w:val="000000" w:themeColor="text1"/>
                <w:kern w:val="0"/>
                <w:sz w:val="22"/>
                <w:szCs w:val="22"/>
                <w:highlight w:val="none"/>
                <w14:textFill>
                  <w14:solidFill>
                    <w14:schemeClr w14:val="tx1"/>
                  </w14:solidFill>
                </w14:textFill>
              </w:rPr>
              <w:t>拼台</w:t>
            </w:r>
          </w:p>
        </w:tc>
        <w:tc>
          <w:tcPr>
            <w:tcW w:w="70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9</w:t>
            </w:r>
          </w:p>
        </w:tc>
        <w:tc>
          <w:tcPr>
            <w:tcW w:w="6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val="0"/>
                <w:bCs w:val="0"/>
                <w:i w:val="0"/>
                <w:iCs w:val="0"/>
                <w:color w:val="000000"/>
                <w:kern w:val="0"/>
                <w:sz w:val="22"/>
                <w:szCs w:val="22"/>
                <w:u w:val="none"/>
                <w:lang w:val="en-US" w:eastAsia="zh-CN" w:bidi="ar"/>
              </w:rPr>
              <w:t>产品符合GB 4806.9-2023标准的有效期内的《食品接触产品安全认证证书》及有效的试验报告</w:t>
            </w:r>
            <w:r>
              <w:rPr>
                <w:rFonts w:hint="eastAsia" w:ascii="宋体" w:hAnsi="宋体" w:cs="宋体"/>
                <w:b w:val="0"/>
                <w:bCs w:val="0"/>
                <w:i w:val="0"/>
                <w:iCs w:val="0"/>
                <w:color w:val="000000"/>
                <w:kern w:val="0"/>
                <w:sz w:val="22"/>
                <w:szCs w:val="22"/>
                <w:u w:val="none"/>
                <w:lang w:val="en-US" w:eastAsia="zh-CN" w:bidi="ar"/>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i w:val="0"/>
                <w:iCs w:val="0"/>
                <w:color w:val="000000"/>
                <w:kern w:val="0"/>
                <w:sz w:val="22"/>
                <w:szCs w:val="22"/>
                <w:u w:val="none"/>
                <w:lang w:val="en-US" w:eastAsia="zh-CN" w:bidi="ar"/>
              </w:rPr>
              <w:t>每满足一项产品的以上资料得1分，累计最高得9分，需同时提供证书及检验报告才能得分，否则不得分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r>
              <w:rPr>
                <w:rStyle w:val="13"/>
                <w:rFonts w:hint="eastAsia" w:ascii="宋体" w:hAnsi="宋体" w:eastAsia="宋体" w:cs="宋体"/>
                <w:b w:val="0"/>
                <w:bCs w:val="0"/>
                <w:color w:val="000000" w:themeColor="text1"/>
                <w:sz w:val="22"/>
                <w:szCs w:val="22"/>
                <w:highlight w:val="none"/>
                <w14:textFill>
                  <w14:solidFill>
                    <w14:schemeClr w14:val="tx1"/>
                  </w14:solidFill>
                </w14:textFill>
              </w:rPr>
              <w:t>【</w:t>
            </w:r>
            <w:r>
              <w:rPr>
                <w:rFonts w:hint="eastAsia" w:ascii="宋体" w:hAnsi="宋体" w:eastAsia="宋体" w:cs="宋体"/>
                <w:b w:val="0"/>
                <w:bCs w:val="0"/>
                <w:color w:val="000000" w:themeColor="text1"/>
                <w:sz w:val="22"/>
                <w:szCs w:val="22"/>
                <w:highlight w:val="none"/>
                <w14:textFill>
                  <w14:solidFill>
                    <w14:schemeClr w14:val="tx1"/>
                  </w14:solidFill>
                </w14:textFill>
              </w:rPr>
              <w:t>投标人提供以上资料的清晰扫描件或复印件，</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提供其中</w:t>
            </w:r>
            <w:r>
              <w:rPr>
                <w:rStyle w:val="13"/>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证书在国家认证认可监督管理委员会官方网站（www.cnca.gov.cn）的查询截图</w:t>
            </w:r>
            <w:r>
              <w:rPr>
                <w:rStyle w:val="13"/>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Style w:val="13"/>
                <w:rFonts w:hint="eastAsia" w:ascii="宋体" w:hAnsi="宋体" w:eastAsia="宋体" w:cs="宋体"/>
                <w:b w:val="0"/>
                <w:bCs w:val="0"/>
                <w:color w:val="000000" w:themeColor="text1"/>
                <w:sz w:val="22"/>
                <w:szCs w:val="22"/>
                <w:highlight w:val="none"/>
                <w14:textFill>
                  <w14:solidFill>
                    <w14:schemeClr w14:val="tx1"/>
                  </w14:solidFill>
                </w14:textFill>
              </w:rPr>
              <w:t>】</w:t>
            </w: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四盆保温售饭柜</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44"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四层平板货架</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双层工作台</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单星水池</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单通工作台</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双层餐车</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平板车</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面粉车</w:t>
            </w:r>
          </w:p>
        </w:tc>
        <w:tc>
          <w:tcPr>
            <w:tcW w:w="70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电热蒸饭柜（24盘</w:t>
            </w:r>
            <w:r>
              <w:rPr>
                <w:rFonts w:hint="eastAsia" w:ascii="宋体" w:hAnsi="宋体" w:eastAsia="宋体" w:cs="宋体"/>
                <w:i w:val="0"/>
                <w:iCs w:val="0"/>
                <w:color w:val="000000"/>
                <w:kern w:val="0"/>
                <w:sz w:val="22"/>
                <w:szCs w:val="22"/>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val="0"/>
                <w:bCs w:val="0"/>
                <w:i w:val="0"/>
                <w:iCs w:val="0"/>
                <w:color w:val="000000"/>
                <w:kern w:val="0"/>
                <w:sz w:val="22"/>
                <w:szCs w:val="22"/>
                <w:u w:val="none"/>
                <w:lang w:val="en-US" w:eastAsia="zh-CN" w:bidi="ar"/>
              </w:rPr>
              <w:t>产品符合GB 4806.9-2023标准的有效期内的</w:t>
            </w:r>
            <w:r>
              <w:rPr>
                <w:rFonts w:hint="eastAsia" w:ascii="宋体" w:hAnsi="宋体" w:eastAsia="宋体" w:cs="宋体"/>
                <w:i w:val="0"/>
                <w:iCs w:val="0"/>
                <w:color w:val="000000"/>
                <w:kern w:val="0"/>
                <w:sz w:val="22"/>
                <w:szCs w:val="22"/>
                <w:u w:val="none"/>
                <w:lang w:val="en-US" w:eastAsia="zh-CN" w:bidi="ar"/>
              </w:rPr>
              <w:t>食品接触产品安全认证证书</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eastAsia="宋体" w:cs="宋体"/>
                <w:b w:val="0"/>
                <w:bCs w:val="0"/>
                <w:color w:val="FF0000"/>
                <w:sz w:val="22"/>
                <w:szCs w:val="22"/>
                <w:highlight w:val="none"/>
                <w:lang w:val="en-US" w:eastAsia="zh-CN"/>
              </w:rPr>
              <w:t>证书</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并</w:t>
            </w:r>
            <w:r>
              <w:rPr>
                <w:rFonts w:hint="eastAsia" w:ascii="宋体" w:hAnsi="宋体" w:eastAsia="宋体" w:cs="宋体"/>
                <w:b w:val="0"/>
                <w:bCs w:val="0"/>
                <w:color w:val="FF0000"/>
                <w:sz w:val="22"/>
                <w:szCs w:val="22"/>
                <w:highlight w:val="none"/>
                <w:lang w:val="en-US" w:eastAsia="zh-CN"/>
              </w:rPr>
              <w:t>提供以上</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可倾式摇摆汤锅（电）</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0"/>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1</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cs="宋体"/>
                <w:b w:val="0"/>
                <w:bCs w:val="0"/>
                <w:i w:val="0"/>
                <w:iCs w:val="0"/>
                <w:color w:val="000000"/>
                <w:kern w:val="0"/>
                <w:sz w:val="22"/>
                <w:szCs w:val="22"/>
                <w:u w:val="none"/>
                <w:lang w:val="en-US" w:eastAsia="zh-CN" w:bidi="ar"/>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val="0"/>
                <w:bCs w:val="0"/>
                <w:i w:val="0"/>
                <w:iCs w:val="0"/>
                <w:color w:val="000000"/>
                <w:kern w:val="0"/>
                <w:sz w:val="22"/>
                <w:szCs w:val="22"/>
                <w:u w:val="none"/>
                <w:lang w:val="en-US" w:eastAsia="zh-CN" w:bidi="ar"/>
              </w:rPr>
              <w:t>产品符合GB 4806.9-2023标准的有效期内的《食品接触产品安全认证证书》</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Style w:val="13"/>
                <w:rFonts w:hint="eastAsia" w:ascii="宋体" w:hAnsi="宋体" w:eastAsia="宋体" w:cs="宋体"/>
                <w:b w:val="0"/>
                <w:bCs w:val="0"/>
                <w:color w:val="000000" w:themeColor="text1"/>
                <w:sz w:val="22"/>
                <w:szCs w:val="22"/>
                <w:highlight w:val="none"/>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eastAsia="宋体" w:cs="宋体"/>
                <w:b w:val="0"/>
                <w:bCs w:val="0"/>
                <w:color w:val="FF0000"/>
                <w:sz w:val="22"/>
                <w:szCs w:val="22"/>
                <w:highlight w:val="none"/>
                <w:lang w:val="en-US" w:eastAsia="zh-CN"/>
              </w:rPr>
              <w:t>证书</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并</w:t>
            </w:r>
            <w:r>
              <w:rPr>
                <w:rFonts w:hint="eastAsia" w:ascii="宋体" w:hAnsi="宋体" w:eastAsia="宋体" w:cs="宋体"/>
                <w:b w:val="0"/>
                <w:bCs w:val="0"/>
                <w:color w:val="FF0000"/>
                <w:sz w:val="22"/>
                <w:szCs w:val="22"/>
                <w:highlight w:val="none"/>
                <w:lang w:val="en-US" w:eastAsia="zh-CN"/>
              </w:rPr>
              <w:t>提供以上</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多功能液态导热锅</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2</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i w:val="0"/>
                <w:iCs w:val="0"/>
                <w:color w:val="000000"/>
                <w:kern w:val="0"/>
                <w:sz w:val="22"/>
                <w:szCs w:val="22"/>
                <w:u w:val="none"/>
                <w:lang w:val="en-US" w:eastAsia="zh-CN" w:bidi="ar"/>
              </w:rPr>
              <w:t>电导热锅符合GB 4806.9-2023标准的有效期内的《食品接触产品安全认证证书》，</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w:t>
            </w:r>
            <w:r>
              <w:rPr>
                <w:rFonts w:hint="eastAsia" w:ascii="宋体" w:hAnsi="宋体" w:cs="宋体"/>
                <w:color w:val="000000" w:themeColor="text1"/>
                <w:sz w:val="22"/>
                <w:szCs w:val="22"/>
                <w:highlight w:val="none"/>
                <w:shd w:val="clear"/>
                <w:lang w:val="en-US" w:eastAsia="zh-CN"/>
                <w14:textFill>
                  <w14:solidFill>
                    <w14:schemeClr w14:val="tx1"/>
                  </w14:solidFill>
                </w14:textFill>
              </w:rPr>
              <w:t>1</w:t>
            </w:r>
            <w:r>
              <w:rPr>
                <w:rFonts w:hint="eastAsia" w:ascii="宋体" w:hAnsi="宋体" w:eastAsia="宋体" w:cs="宋体"/>
                <w:color w:val="000000" w:themeColor="text1"/>
                <w:sz w:val="22"/>
                <w:szCs w:val="22"/>
                <w:highlight w:val="none"/>
                <w:shd w:val="clear"/>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shd w:val="clear" w:fill="FFFFFF" w:themeFill="background1"/>
                <w:lang w:val="en-US"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i w:val="0"/>
                <w:iCs w:val="0"/>
                <w:color w:val="000000"/>
                <w:kern w:val="0"/>
                <w:sz w:val="22"/>
                <w:szCs w:val="22"/>
                <w:u w:val="none"/>
                <w:lang w:val="en-US" w:eastAsia="zh-CN" w:bidi="ar"/>
              </w:rPr>
              <w:t>电导热锅符合GB 4706.1-2005、GB 4706.35-2008标准的检验报告</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cs="宋体"/>
                <w:b w:val="0"/>
                <w:bCs w:val="0"/>
                <w:color w:val="FF0000"/>
                <w:sz w:val="22"/>
                <w:szCs w:val="22"/>
                <w:highlight w:val="none"/>
                <w:lang w:val="en-US" w:eastAsia="zh-CN"/>
              </w:rPr>
              <w:t>资料</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并</w:t>
            </w:r>
            <w:r>
              <w:rPr>
                <w:rFonts w:hint="eastAsia" w:ascii="宋体" w:hAnsi="宋体" w:eastAsia="宋体" w:cs="宋体"/>
                <w:b w:val="0"/>
                <w:bCs w:val="0"/>
                <w:color w:val="FF0000"/>
                <w:sz w:val="22"/>
                <w:szCs w:val="22"/>
                <w:highlight w:val="none"/>
                <w:lang w:val="en-US" w:eastAsia="zh-CN"/>
              </w:rPr>
              <w:t>提供以上</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1376"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风冷双温四门高身冰柜</w:t>
            </w: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4</w:t>
            </w:r>
          </w:p>
        </w:tc>
        <w:tc>
          <w:tcPr>
            <w:tcW w:w="61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bCs/>
                <w:color w:val="000000" w:themeColor="text1"/>
                <w:sz w:val="22"/>
                <w:szCs w:val="22"/>
                <w:highlight w:val="none"/>
                <w:shd w:val="clear"/>
                <w:lang w:val="en-US" w:eastAsia="zh-CN"/>
                <w14:textFill>
                  <w14:solidFill>
                    <w14:schemeClr w14:val="tx1"/>
                  </w14:solidFill>
                </w14:textFill>
              </w:rPr>
              <w:t>：</w:t>
            </w:r>
            <w:r>
              <w:rPr>
                <w:rFonts w:hint="eastAsia" w:ascii="宋体" w:hAnsi="宋体" w:eastAsia="宋体" w:cs="宋体"/>
                <w:i w:val="0"/>
                <w:iCs w:val="0"/>
                <w:color w:val="000000"/>
                <w:kern w:val="0"/>
                <w:sz w:val="22"/>
                <w:szCs w:val="22"/>
                <w:highlight w:val="none"/>
                <w:u w:val="none"/>
                <w:shd w:val="clear"/>
                <w:lang w:val="en-US" w:eastAsia="zh-CN" w:bidi="ar"/>
              </w:rPr>
              <w:t>产品</w:t>
            </w:r>
            <w:r>
              <w:rPr>
                <w:rFonts w:hint="eastAsia" w:ascii="宋体" w:hAnsi="宋体" w:eastAsia="宋体" w:cs="宋体"/>
                <w:b w:val="0"/>
                <w:bCs w:val="0"/>
                <w:i w:val="0"/>
                <w:iCs w:val="0"/>
                <w:color w:val="000000"/>
                <w:kern w:val="0"/>
                <w:sz w:val="22"/>
                <w:szCs w:val="22"/>
                <w:highlight w:val="none"/>
                <w:u w:val="none"/>
                <w:shd w:val="clear"/>
                <w:lang w:val="en-US" w:eastAsia="zh-CN" w:bidi="ar"/>
              </w:rPr>
              <w:t>符合GB 4806.9-2023标准的有效期内的</w:t>
            </w:r>
            <w:r>
              <w:rPr>
                <w:rFonts w:hint="eastAsia" w:ascii="宋体" w:hAnsi="宋体" w:eastAsia="宋体" w:cs="宋体"/>
                <w:i w:val="0"/>
                <w:iCs w:val="0"/>
                <w:color w:val="000000"/>
                <w:kern w:val="0"/>
                <w:sz w:val="22"/>
                <w:szCs w:val="22"/>
                <w:highlight w:val="none"/>
                <w:u w:val="none"/>
                <w:shd w:val="clear"/>
                <w:lang w:val="en-US" w:eastAsia="zh-CN" w:bidi="ar"/>
              </w:rPr>
              <w:t>食品接触产品安全认证证书</w:t>
            </w:r>
            <w:r>
              <w:rPr>
                <w:rFonts w:hint="eastAsia" w:ascii="宋体" w:hAnsi="宋体" w:cs="宋体"/>
                <w:i w:val="0"/>
                <w:iCs w:val="0"/>
                <w:color w:val="000000"/>
                <w:kern w:val="0"/>
                <w:sz w:val="22"/>
                <w:szCs w:val="22"/>
                <w:highlight w:val="none"/>
                <w:u w:val="none"/>
                <w:shd w:val="clear"/>
                <w:lang w:val="en-US" w:eastAsia="zh-CN" w:bidi="ar"/>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每</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一项产品的以上</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证书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得1</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两项产品均满足要求</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得</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bCs/>
                <w:color w:val="000000" w:themeColor="text1"/>
                <w:sz w:val="22"/>
                <w:szCs w:val="22"/>
                <w:highlight w:val="none"/>
                <w:shd w:val="clear"/>
                <w:lang w:val="en-US" w:eastAsia="zh-CN"/>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产品符合 GB26920.2-2015《商用制冷器具能效限定值和能效等级第 2 部分: 自携冷凝机组商用冷柜》标准的一级能效检测报告</w:t>
            </w:r>
            <w:r>
              <w:rPr>
                <w:rFonts w:hint="eastAsia" w:ascii="宋体" w:hAnsi="宋体" w:cs="宋体"/>
                <w:i w:val="0"/>
                <w:iCs w:val="0"/>
                <w:color w:val="000000"/>
                <w:kern w:val="0"/>
                <w:sz w:val="22"/>
                <w:szCs w:val="22"/>
                <w:highlight w:val="none"/>
                <w:u w:val="none"/>
                <w:shd w:val="clear"/>
                <w:lang w:val="en-US" w:eastAsia="zh-CN" w:bidi="ar"/>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每</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一项产品的以上检测报告得1</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两项产品均满足要求</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得</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cs="宋体"/>
                <w:b w:val="0"/>
                <w:bCs w:val="0"/>
                <w:color w:val="FF0000"/>
                <w:sz w:val="22"/>
                <w:szCs w:val="22"/>
                <w:highlight w:val="none"/>
                <w:lang w:val="en-US" w:eastAsia="zh-CN"/>
              </w:rPr>
              <w:t>资料</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并</w:t>
            </w:r>
            <w:r>
              <w:rPr>
                <w:rFonts w:hint="eastAsia" w:ascii="宋体" w:hAnsi="宋体" w:eastAsia="宋体" w:cs="宋体"/>
                <w:b w:val="0"/>
                <w:bCs w:val="0"/>
                <w:color w:val="FF0000"/>
                <w:sz w:val="22"/>
                <w:szCs w:val="22"/>
                <w:highlight w:val="none"/>
                <w:lang w:val="en-US" w:eastAsia="zh-CN"/>
              </w:rPr>
              <w:t>提供</w:t>
            </w:r>
            <w:r>
              <w:rPr>
                <w:rFonts w:hint="eastAsia" w:ascii="宋体" w:hAnsi="宋体" w:cs="宋体"/>
                <w:b w:val="0"/>
                <w:bCs w:val="0"/>
                <w:color w:val="FF0000"/>
                <w:sz w:val="22"/>
                <w:szCs w:val="22"/>
                <w:highlight w:val="none"/>
                <w:lang w:val="en-US" w:eastAsia="zh-CN"/>
              </w:rPr>
              <w:t>其中</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23" w:hRule="atLeast"/>
          <w:jc w:val="center"/>
        </w:trPr>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风冷冷藏操作台</w:t>
            </w:r>
          </w:p>
        </w:tc>
        <w:tc>
          <w:tcPr>
            <w:tcW w:w="70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p>
        </w:tc>
        <w:tc>
          <w:tcPr>
            <w:tcW w:w="61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78" w:hRule="atLeast"/>
          <w:jc w:val="center"/>
        </w:trPr>
        <w:tc>
          <w:tcPr>
            <w:tcW w:w="6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2.</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绞切肉机</w:t>
            </w:r>
          </w:p>
        </w:tc>
        <w:tc>
          <w:tcPr>
            <w:tcW w:w="7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5</w:t>
            </w:r>
          </w:p>
        </w:tc>
        <w:tc>
          <w:tcPr>
            <w:tcW w:w="61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i w:val="0"/>
                <w:iCs w:val="0"/>
                <w:color w:val="000000"/>
                <w:kern w:val="0"/>
                <w:sz w:val="22"/>
                <w:szCs w:val="22"/>
                <w:u w:val="none"/>
                <w:lang w:val="en-US" w:eastAsia="zh-CN" w:bidi="ar"/>
              </w:rPr>
              <w:t>产品符合GB 4806.9-2023标准的有效期内的《食品接触产品安全认证证书》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每</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一项产品的以上</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证书</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得1</w:t>
            </w:r>
            <w:r>
              <w:rPr>
                <w:rFonts w:hint="eastAsia" w:ascii="宋体" w:hAnsi="宋体" w:eastAsia="宋体" w:cs="宋体"/>
                <w:b w:val="0"/>
                <w:bCs w:val="0"/>
                <w:color w:val="000000" w:themeColor="text1"/>
                <w:sz w:val="22"/>
                <w:szCs w:val="22"/>
                <w:highlight w:val="none"/>
                <w14:textFill>
                  <w14:solidFill>
                    <w14:schemeClr w14:val="tx1"/>
                  </w14:solidFill>
                </w14:textFill>
              </w:rPr>
              <w:t>分，</w:t>
            </w:r>
            <w:r>
              <w:rPr>
                <w:rFonts w:hint="eastAsia" w:ascii="宋体" w:hAnsi="宋体" w:cs="宋体"/>
                <w:b w:val="0"/>
                <w:bCs w:val="0"/>
                <w:color w:val="000000" w:themeColor="text1"/>
                <w:sz w:val="22"/>
                <w:szCs w:val="22"/>
                <w:highlight w:val="none"/>
                <w:lang w:eastAsia="zh-CN"/>
                <w14:textFill>
                  <w14:solidFill>
                    <w14:schemeClr w14:val="tx1"/>
                  </w14:solidFill>
                </w14:textFill>
              </w:rPr>
              <w:t>五</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项产品均满足要求</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得5分</w:t>
            </w:r>
            <w:r>
              <w:rPr>
                <w:rFonts w:hint="eastAsia" w:ascii="宋体" w:hAnsi="宋体" w:eastAsia="宋体" w:cs="宋体"/>
                <w:b w:val="0"/>
                <w:bCs w:val="0"/>
                <w:color w:val="000000" w:themeColor="text1"/>
                <w:sz w:val="22"/>
                <w:szCs w:val="22"/>
                <w:highlight w:val="none"/>
                <w14:textFill>
                  <w14:solidFill>
                    <w14:schemeClr w14:val="tx1"/>
                  </w14:solidFill>
                </w14:textFill>
              </w:rPr>
              <w:t>，不满足</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b w:val="0"/>
                <w:bCs w:val="0"/>
                <w:color w:val="000000" w:themeColor="text1"/>
                <w:sz w:val="22"/>
                <w:szCs w:val="22"/>
                <w:highlight w:val="none"/>
                <w14:textFill>
                  <w14:solidFill>
                    <w14:schemeClr w14:val="tx1"/>
                  </w14:solidFill>
                </w14:textFill>
              </w:rPr>
              <w:t>不得分</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eastAsia="宋体" w:cs="宋体"/>
                <w:b w:val="0"/>
                <w:bCs w:val="0"/>
                <w:color w:val="FF0000"/>
                <w:sz w:val="22"/>
                <w:szCs w:val="22"/>
                <w:highlight w:val="none"/>
                <w:lang w:val="en-US" w:eastAsia="zh-CN"/>
              </w:rPr>
              <w:t>证书</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并</w:t>
            </w:r>
            <w:r>
              <w:rPr>
                <w:rFonts w:hint="eastAsia" w:ascii="宋体" w:hAnsi="宋体" w:eastAsia="宋体" w:cs="宋体"/>
                <w:b w:val="0"/>
                <w:bCs w:val="0"/>
                <w:color w:val="FF0000"/>
                <w:sz w:val="22"/>
                <w:szCs w:val="22"/>
                <w:highlight w:val="none"/>
                <w:lang w:val="en-US" w:eastAsia="zh-CN"/>
              </w:rPr>
              <w:t>提供以上</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407" w:hRule="atLeast"/>
          <w:jc w:val="center"/>
        </w:trPr>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毛刷清洗机</w:t>
            </w:r>
          </w:p>
        </w:tc>
        <w:tc>
          <w:tcPr>
            <w:tcW w:w="70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p>
        </w:tc>
        <w:tc>
          <w:tcPr>
            <w:tcW w:w="6162"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全自动多功能切菜机</w:t>
            </w:r>
          </w:p>
        </w:tc>
        <w:tc>
          <w:tcPr>
            <w:tcW w:w="70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pPr>
          </w:p>
        </w:tc>
        <w:tc>
          <w:tcPr>
            <w:tcW w:w="6162"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全自动和面机</w:t>
            </w:r>
          </w:p>
        </w:tc>
        <w:tc>
          <w:tcPr>
            <w:tcW w:w="70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sz w:val="22"/>
                <w:szCs w:val="22"/>
                <w:lang w:eastAsia="zh-CN"/>
              </w:rPr>
            </w:pPr>
          </w:p>
        </w:tc>
        <w:tc>
          <w:tcPr>
            <w:tcW w:w="6162"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sz w:val="22"/>
                <w:szCs w:val="22"/>
              </w:rPr>
            </w:pPr>
          </w:p>
        </w:tc>
      </w:tr>
      <w:tr>
        <w:tblPrEx>
          <w:tblCellMar>
            <w:top w:w="0" w:type="dxa"/>
            <w:left w:w="108" w:type="dxa"/>
            <w:bottom w:w="0" w:type="dxa"/>
            <w:right w:w="108" w:type="dxa"/>
          </w:tblCellMar>
        </w:tblPrEx>
        <w:trPr>
          <w:trHeight w:val="473" w:hRule="atLeast"/>
          <w:jc w:val="center"/>
        </w:trPr>
        <w:tc>
          <w:tcPr>
            <w:tcW w:w="6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全自动压面机</w:t>
            </w:r>
          </w:p>
        </w:tc>
        <w:tc>
          <w:tcPr>
            <w:tcW w:w="70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61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2.</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长龙洗碗机</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4</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①所投洗碗机具有满足GB/T 17799.1-2017、GB/T 17626.12-2023 的标准要求，其：静电放电抗扰度试验、电快速瞬变脉冲群抗扰度试验、振铃波抗扰度试验等方面满足性能判据 A 的试验报告；</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②所投洗碗机具有满足依据GB/T 5464-2010、GB/T14402-2007标准要求的检测报告;其：发热管、加热包、洗碗机电箱依据GB/T 5464-2010、GB/T14402-2007标准，其:燃烧热值≤1MJ/kg；质量损失率△m≤0.5%且炉内温升△T≤15°C满足不燃性，获得合格的检测报告，阻燃等级为:A(A1)级；</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③所投洗碗机具有满足 GB/T 26125-2011、 GB/T 26572-2011标准要求；其：清洗组件、触控板、总闸控制板、总闸配件、排水阀、压力阀、电机、水箱、水管的铅(Pb)、镉(Cd)、汞(Hg)、 六价铬(Cr(VI))、多溴联苯(PBBs)、多溴二苯醚(PBDEs)的物质限量检测合格的检测报告；</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④提供所投洗碗机获得</w:t>
            </w:r>
            <w:r>
              <w:rPr>
                <w:rFonts w:hint="eastAsia" w:ascii="宋体" w:hAnsi="宋体" w:cs="宋体"/>
                <w:i w:val="0"/>
                <w:iCs w:val="0"/>
                <w:color w:val="000000"/>
                <w:kern w:val="0"/>
                <w:sz w:val="22"/>
                <w:szCs w:val="22"/>
                <w:u w:val="none"/>
                <w:lang w:val="en-US" w:eastAsia="zh-CN" w:bidi="ar"/>
              </w:rPr>
              <w:t>的</w:t>
            </w:r>
            <w:r>
              <w:rPr>
                <w:rFonts w:hint="eastAsia" w:ascii="宋体" w:hAnsi="宋体" w:eastAsia="宋体" w:cs="宋体"/>
                <w:i w:val="0"/>
                <w:iCs w:val="0"/>
                <w:color w:val="000000"/>
                <w:kern w:val="0"/>
                <w:sz w:val="22"/>
                <w:szCs w:val="22"/>
                <w:u w:val="none"/>
                <w:lang w:val="en-US" w:eastAsia="zh-CN" w:bidi="ar"/>
              </w:rPr>
              <w:t>低碳产品认证证书；</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w:t>
            </w:r>
            <w:r>
              <w:rPr>
                <w:rFonts w:hint="eastAsia" w:ascii="宋体" w:hAnsi="宋体" w:cs="宋体"/>
                <w:color w:val="000000" w:themeColor="text1"/>
                <w:sz w:val="22"/>
                <w:szCs w:val="22"/>
                <w:highlight w:val="none"/>
                <w:lang w:val="en-US" w:eastAsia="zh-CN"/>
                <w14:textFill>
                  <w14:solidFill>
                    <w14:schemeClr w14:val="tx1"/>
                  </w14:solidFill>
                </w14:textFill>
              </w:rPr>
              <w:t>0.5</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⑤提供所投洗碗机具有满足GB/T4208-2017标准，其防水等级≥IPX6的产品防水等级认证证书。；</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w:t>
            </w:r>
            <w:r>
              <w:rPr>
                <w:rFonts w:hint="eastAsia" w:ascii="宋体" w:hAnsi="宋体" w:cs="宋体"/>
                <w:color w:val="000000" w:themeColor="text1"/>
                <w:sz w:val="22"/>
                <w:szCs w:val="22"/>
                <w:highlight w:val="none"/>
                <w:lang w:val="en-US" w:eastAsia="zh-CN"/>
                <w14:textFill>
                  <w14:solidFill>
                    <w14:schemeClr w14:val="tx1"/>
                  </w14:solidFill>
                </w14:textFill>
              </w:rPr>
              <w:t>0.5</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br w:type="textWrapping"/>
            </w: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cs="宋体"/>
                <w:b w:val="0"/>
                <w:bCs w:val="0"/>
                <w:color w:val="FF0000"/>
                <w:sz w:val="22"/>
                <w:szCs w:val="22"/>
                <w:highlight w:val="none"/>
                <w:lang w:val="en-US" w:eastAsia="zh-CN"/>
              </w:rPr>
              <w:t>资料</w:t>
            </w:r>
            <w:r>
              <w:rPr>
                <w:rFonts w:hint="eastAsia" w:ascii="宋体" w:hAnsi="宋体" w:eastAsia="宋体" w:cs="宋体"/>
                <w:b w:val="0"/>
                <w:bCs w:val="0"/>
                <w:color w:val="FF0000"/>
                <w:sz w:val="22"/>
                <w:szCs w:val="22"/>
                <w:highlight w:val="none"/>
              </w:rPr>
              <w:t>的清晰扫描件或复印件，</w:t>
            </w:r>
            <w:r>
              <w:rPr>
                <w:rFonts w:hint="eastAsia" w:ascii="宋体" w:hAnsi="宋体" w:eastAsia="宋体" w:cs="宋体"/>
                <w:b w:val="0"/>
                <w:bCs w:val="0"/>
                <w:color w:val="FF0000"/>
                <w:sz w:val="22"/>
                <w:szCs w:val="22"/>
                <w:highlight w:val="none"/>
                <w:lang w:val="en-US" w:eastAsia="zh-CN"/>
              </w:rPr>
              <w:t>提供其中</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156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2.</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四人快餐桌</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2</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i w:val="0"/>
                <w:iCs w:val="0"/>
                <w:color w:val="000000"/>
                <w:kern w:val="0"/>
                <w:sz w:val="22"/>
                <w:szCs w:val="22"/>
                <w:u w:val="none"/>
                <w:lang w:val="en-US" w:eastAsia="zh-CN" w:bidi="ar"/>
              </w:rPr>
              <w:t>产品符合GB 4806.9-2023标准</w:t>
            </w:r>
            <w:r>
              <w:rPr>
                <w:rFonts w:hint="eastAsia" w:ascii="宋体" w:hAnsi="宋体" w:cs="宋体"/>
                <w:i w:val="0"/>
                <w:iCs w:val="0"/>
                <w:color w:val="000000"/>
                <w:kern w:val="0"/>
                <w:sz w:val="22"/>
                <w:szCs w:val="22"/>
                <w:u w:val="none"/>
                <w:lang w:val="en-US" w:eastAsia="zh-CN" w:bidi="ar"/>
              </w:rPr>
              <w:t>的</w:t>
            </w:r>
            <w:r>
              <w:rPr>
                <w:rFonts w:hint="eastAsia" w:ascii="宋体" w:hAnsi="宋体" w:eastAsia="宋体" w:cs="宋体"/>
                <w:i w:val="0"/>
                <w:iCs w:val="0"/>
                <w:color w:val="000000"/>
                <w:kern w:val="0"/>
                <w:sz w:val="22"/>
                <w:szCs w:val="22"/>
                <w:u w:val="none"/>
                <w:lang w:val="en-US" w:eastAsia="zh-CN" w:bidi="ar"/>
              </w:rPr>
              <w:t>有效期内的《食品接触产品安全认证证书》</w:t>
            </w:r>
            <w:r>
              <w:rPr>
                <w:rFonts w:hint="eastAsia" w:ascii="宋体" w:hAnsi="宋体" w:cs="宋体"/>
                <w:i w:val="0"/>
                <w:iCs w:val="0"/>
                <w:color w:val="000000"/>
                <w:kern w:val="0"/>
                <w:sz w:val="22"/>
                <w:szCs w:val="22"/>
                <w:u w:val="none"/>
                <w:lang w:val="en-US" w:eastAsia="zh-CN" w:bidi="ar"/>
              </w:rPr>
              <w:t>或检测报告。</w:t>
            </w:r>
            <w:r>
              <w:rPr>
                <w:rFonts w:hint="eastAsia" w:ascii="宋体" w:hAnsi="宋体" w:eastAsia="宋体" w:cs="宋体"/>
                <w:color w:val="000000" w:themeColor="text1"/>
                <w:sz w:val="22"/>
                <w:szCs w:val="22"/>
                <w:highlight w:val="none"/>
                <w:lang w:val="en-US" w:eastAsia="zh-CN"/>
                <w14:textFill>
                  <w14:solidFill>
                    <w14:schemeClr w14:val="tx1"/>
                  </w14:solidFill>
                </w14:textFill>
              </w:rPr>
              <w:t>满足的得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cs="宋体"/>
                <w:b w:val="0"/>
                <w:bCs w:val="0"/>
                <w:color w:val="FF0000"/>
                <w:sz w:val="22"/>
                <w:szCs w:val="22"/>
                <w:highlight w:val="none"/>
                <w:lang w:val="en-US" w:eastAsia="zh-CN"/>
              </w:rPr>
              <w:t>资料</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2.</w:t>
            </w:r>
            <w:r>
              <w:rPr>
                <w:rFonts w:hint="eastAsia" w:ascii="宋体" w:hAnsi="宋体" w:cs="宋体"/>
                <w:b/>
                <w:bCs/>
                <w:color w:val="000000" w:themeColor="text1"/>
                <w:kern w:val="0"/>
                <w:sz w:val="22"/>
                <w:szCs w:val="22"/>
                <w:highlight w:val="none"/>
                <w:lang w:val="en-US" w:eastAsia="zh-CN"/>
                <w14:textFill>
                  <w14:solidFill>
                    <w14:schemeClr w14:val="tx1"/>
                  </w14:solidFill>
                </w14:textFill>
              </w:rPr>
              <w:t>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油烟净化一体机</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4</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color w:val="FF0000"/>
                <w:sz w:val="22"/>
                <w:szCs w:val="22"/>
                <w:highlight w:val="none"/>
                <w:lang w:val="en-US" w:eastAsia="zh-CN"/>
              </w:rPr>
              <w:t>提供：</w:t>
            </w:r>
            <w:r>
              <w:rPr>
                <w:rFonts w:hint="eastAsia" w:ascii="宋体" w:hAnsi="宋体" w:eastAsia="宋体" w:cs="宋体"/>
                <w:i w:val="0"/>
                <w:iCs w:val="0"/>
                <w:color w:val="FF0000"/>
                <w:kern w:val="0"/>
                <w:sz w:val="22"/>
                <w:szCs w:val="22"/>
                <w:highlight w:val="none"/>
                <w:u w:val="none"/>
                <w:lang w:val="en-US" w:eastAsia="zh-CN" w:bidi="ar"/>
              </w:rPr>
              <w:t>产品获</w:t>
            </w:r>
            <w:r>
              <w:rPr>
                <w:rFonts w:hint="eastAsia" w:ascii="宋体" w:hAnsi="宋体" w:cs="宋体"/>
                <w:i w:val="0"/>
                <w:iCs w:val="0"/>
                <w:color w:val="FF0000"/>
                <w:kern w:val="0"/>
                <w:sz w:val="22"/>
                <w:szCs w:val="22"/>
                <w:highlight w:val="none"/>
                <w:u w:val="none"/>
                <w:lang w:val="en-US" w:eastAsia="zh-CN" w:bidi="ar"/>
              </w:rPr>
              <w:t>得</w:t>
            </w:r>
            <w:r>
              <w:rPr>
                <w:rFonts w:hint="eastAsia" w:ascii="宋体" w:hAnsi="宋体" w:eastAsia="宋体" w:cs="宋体"/>
                <w:i w:val="0"/>
                <w:iCs w:val="0"/>
                <w:color w:val="FF0000"/>
                <w:kern w:val="0"/>
                <w:sz w:val="22"/>
                <w:szCs w:val="22"/>
                <w:highlight w:val="none"/>
                <w:u w:val="none"/>
                <w:lang w:val="en-US" w:eastAsia="zh-CN" w:bidi="ar"/>
              </w:rPr>
              <w:t>中国质量中心出具的</w:t>
            </w:r>
            <w:r>
              <w:rPr>
                <w:rFonts w:hint="eastAsia" w:ascii="宋体" w:hAnsi="宋体" w:cs="宋体"/>
                <w:i w:val="0"/>
                <w:iCs w:val="0"/>
                <w:color w:val="FF0000"/>
                <w:kern w:val="0"/>
                <w:sz w:val="22"/>
                <w:szCs w:val="22"/>
                <w:highlight w:val="none"/>
                <w:u w:val="none"/>
                <w:lang w:val="en-US" w:eastAsia="zh-CN" w:bidi="ar"/>
              </w:rPr>
              <w:t>《</w:t>
            </w:r>
            <w:r>
              <w:rPr>
                <w:rFonts w:hint="eastAsia" w:ascii="宋体" w:hAnsi="宋体" w:eastAsia="宋体" w:cs="宋体"/>
                <w:i w:val="0"/>
                <w:iCs w:val="0"/>
                <w:color w:val="FF0000"/>
                <w:kern w:val="0"/>
                <w:sz w:val="22"/>
                <w:szCs w:val="22"/>
                <w:highlight w:val="none"/>
                <w:u w:val="none"/>
                <w:lang w:val="en-US" w:eastAsia="zh-CN" w:bidi="ar"/>
              </w:rPr>
              <w:t>中国环保产品认证证书</w:t>
            </w:r>
            <w:r>
              <w:rPr>
                <w:rFonts w:hint="eastAsia" w:ascii="宋体" w:hAnsi="宋体" w:cs="宋体"/>
                <w:i w:val="0"/>
                <w:iCs w:val="0"/>
                <w:color w:val="FF0000"/>
                <w:kern w:val="0"/>
                <w:sz w:val="22"/>
                <w:szCs w:val="22"/>
                <w:highlight w:val="none"/>
                <w:u w:val="none"/>
                <w:lang w:val="en-US" w:eastAsia="zh-CN" w:bidi="ar"/>
              </w:rPr>
              <w:t>》</w:t>
            </w:r>
            <w:r>
              <w:rPr>
                <w:rFonts w:hint="eastAsia" w:ascii="宋体" w:hAnsi="宋体" w:eastAsia="宋体" w:cs="宋体"/>
                <w:i w:val="0"/>
                <w:iCs w:val="0"/>
                <w:color w:val="FF0000"/>
                <w:kern w:val="0"/>
                <w:sz w:val="22"/>
                <w:szCs w:val="22"/>
                <w:highlight w:val="none"/>
                <w:u w:val="none"/>
                <w:lang w:val="en-US" w:eastAsia="zh-CN" w:bidi="ar"/>
              </w:rPr>
              <w:t>及中环协认证中心出具</w:t>
            </w:r>
            <w:r>
              <w:rPr>
                <w:rFonts w:hint="eastAsia" w:ascii="宋体" w:hAnsi="宋体" w:cs="宋体"/>
                <w:i w:val="0"/>
                <w:iCs w:val="0"/>
                <w:color w:val="FF0000"/>
                <w:kern w:val="0"/>
                <w:sz w:val="22"/>
                <w:szCs w:val="22"/>
                <w:highlight w:val="none"/>
                <w:u w:val="none"/>
                <w:lang w:val="en-US" w:eastAsia="zh-CN" w:bidi="ar"/>
              </w:rPr>
              <w:t>的《</w:t>
            </w:r>
            <w:r>
              <w:rPr>
                <w:rFonts w:hint="eastAsia" w:ascii="宋体" w:hAnsi="宋体" w:eastAsia="宋体" w:cs="宋体"/>
                <w:i w:val="0"/>
                <w:iCs w:val="0"/>
                <w:color w:val="FF0000"/>
                <w:kern w:val="0"/>
                <w:sz w:val="22"/>
                <w:szCs w:val="22"/>
                <w:highlight w:val="none"/>
                <w:u w:val="none"/>
                <w:lang w:val="en-US" w:eastAsia="zh-CN" w:bidi="ar"/>
              </w:rPr>
              <w:t>中国环境保护产品认证证书</w:t>
            </w:r>
            <w:r>
              <w:rPr>
                <w:rFonts w:hint="eastAsia" w:ascii="宋体" w:hAnsi="宋体" w:cs="宋体"/>
                <w:i w:val="0"/>
                <w:iCs w:val="0"/>
                <w:color w:val="FF0000"/>
                <w:kern w:val="0"/>
                <w:sz w:val="22"/>
                <w:szCs w:val="22"/>
                <w:highlight w:val="none"/>
                <w:u w:val="none"/>
                <w:lang w:val="en-US" w:eastAsia="zh-CN" w:bidi="ar"/>
              </w:rPr>
              <w:t>》，</w:t>
            </w:r>
            <w:r>
              <w:rPr>
                <w:rFonts w:hint="eastAsia" w:ascii="宋体" w:hAnsi="宋体" w:cs="宋体"/>
                <w:color w:val="FF0000"/>
                <w:sz w:val="22"/>
                <w:szCs w:val="22"/>
                <w:highlight w:val="none"/>
                <w:shd w:val="clear"/>
                <w:lang w:val="en-US" w:eastAsia="zh-CN"/>
              </w:rPr>
              <w:t>提供其中</w:t>
            </w:r>
            <w:r>
              <w:rPr>
                <w:rFonts w:hint="eastAsia" w:ascii="宋体" w:hAnsi="宋体" w:cs="宋体"/>
                <w:b w:val="0"/>
                <w:bCs w:val="0"/>
                <w:color w:val="FF0000"/>
                <w:sz w:val="22"/>
                <w:szCs w:val="22"/>
                <w:highlight w:val="none"/>
                <w:lang w:eastAsia="zh-CN"/>
              </w:rPr>
              <w:t>一项证书</w:t>
            </w:r>
            <w:r>
              <w:rPr>
                <w:rFonts w:hint="eastAsia" w:ascii="宋体" w:hAnsi="宋体" w:eastAsia="宋体" w:cs="宋体"/>
                <w:b w:val="0"/>
                <w:bCs w:val="0"/>
                <w:color w:val="FF0000"/>
                <w:sz w:val="22"/>
                <w:szCs w:val="22"/>
                <w:highlight w:val="none"/>
              </w:rPr>
              <w:t>得</w:t>
            </w:r>
            <w:r>
              <w:rPr>
                <w:rFonts w:hint="eastAsia" w:ascii="宋体" w:hAnsi="宋体" w:cs="宋体"/>
                <w:b w:val="0"/>
                <w:bCs w:val="0"/>
                <w:color w:val="FF0000"/>
                <w:sz w:val="22"/>
                <w:szCs w:val="22"/>
                <w:highlight w:val="none"/>
                <w:lang w:val="en-US" w:eastAsia="zh-CN"/>
              </w:rPr>
              <w:t>1</w:t>
            </w:r>
            <w:r>
              <w:rPr>
                <w:rFonts w:hint="eastAsia" w:ascii="宋体" w:hAnsi="宋体" w:eastAsia="宋体" w:cs="宋体"/>
                <w:b w:val="0"/>
                <w:bCs w:val="0"/>
                <w:color w:val="FF0000"/>
                <w:sz w:val="22"/>
                <w:szCs w:val="22"/>
                <w:highlight w:val="none"/>
              </w:rPr>
              <w:t>分</w:t>
            </w:r>
            <w:r>
              <w:rPr>
                <w:rFonts w:hint="eastAsia" w:ascii="宋体" w:hAnsi="宋体" w:cs="宋体"/>
                <w:b w:val="0"/>
                <w:bCs w:val="0"/>
                <w:color w:val="FF0000"/>
                <w:sz w:val="22"/>
                <w:szCs w:val="22"/>
                <w:highlight w:val="none"/>
                <w:lang w:eastAsia="zh-CN"/>
              </w:rPr>
              <w:t>，两项均</w:t>
            </w:r>
            <w:r>
              <w:rPr>
                <w:rFonts w:hint="eastAsia" w:ascii="宋体" w:hAnsi="宋体" w:eastAsia="宋体" w:cs="宋体"/>
                <w:color w:val="FF0000"/>
                <w:sz w:val="22"/>
                <w:szCs w:val="22"/>
                <w:highlight w:val="none"/>
                <w:shd w:val="clear"/>
                <w:lang w:val="en-US" w:eastAsia="zh-CN"/>
              </w:rPr>
              <w:t>满足的得</w:t>
            </w:r>
            <w:r>
              <w:rPr>
                <w:rFonts w:hint="eastAsia" w:ascii="宋体" w:hAnsi="宋体" w:cs="宋体"/>
                <w:color w:val="FF0000"/>
                <w:sz w:val="22"/>
                <w:szCs w:val="22"/>
                <w:highlight w:val="none"/>
                <w:shd w:val="clear"/>
                <w:lang w:val="en-US" w:eastAsia="zh-CN"/>
              </w:rPr>
              <w:t>2</w:t>
            </w:r>
            <w:r>
              <w:rPr>
                <w:rFonts w:hint="eastAsia" w:ascii="宋体" w:hAnsi="宋体" w:eastAsia="宋体" w:cs="宋体"/>
                <w:color w:val="FF0000"/>
                <w:sz w:val="22"/>
                <w:szCs w:val="22"/>
                <w:highlight w:val="none"/>
                <w:shd w:val="clear"/>
                <w:lang w:val="en-US" w:eastAsia="zh-CN"/>
              </w:rPr>
              <w:t>分</w:t>
            </w:r>
            <w:r>
              <w:rPr>
                <w:rFonts w:hint="eastAsia" w:ascii="宋体" w:hAnsi="宋体" w:eastAsia="宋体" w:cs="宋体"/>
                <w:color w:val="FF0000"/>
                <w:sz w:val="22"/>
                <w:szCs w:val="22"/>
                <w:highlight w:val="none"/>
                <w:shd w:val="clear"/>
                <w:lang w:eastAsia="zh-CN"/>
              </w:rPr>
              <w:t>。</w:t>
            </w:r>
            <w:r>
              <w:rPr>
                <w:rFonts w:hint="eastAsia" w:ascii="宋体" w:hAnsi="宋体" w:eastAsia="宋体" w:cs="宋体"/>
                <w:i w:val="0"/>
                <w:iCs w:val="0"/>
                <w:color w:val="FF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w:t>
            </w:r>
          </w:p>
          <w:p>
            <w:pPr>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r>
              <w:rPr>
                <w:rFonts w:hint="eastAsia" w:ascii="宋体" w:hAnsi="宋体" w:eastAsia="宋体" w:cs="宋体"/>
                <w:i w:val="0"/>
                <w:iCs w:val="0"/>
                <w:color w:val="000000"/>
                <w:kern w:val="0"/>
                <w:sz w:val="22"/>
                <w:szCs w:val="22"/>
                <w:highlight w:val="none"/>
                <w:u w:val="none"/>
                <w:lang w:val="en-US" w:eastAsia="zh-CN" w:bidi="ar"/>
              </w:rPr>
              <w:t>油烟净化一体机设备制造商依据GB18483-2001</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饮食业油烟排放标准》，提供在额定风量条件下设备的油烟净化效率≥9</w:t>
            </w:r>
            <w:r>
              <w:rPr>
                <w:rFonts w:hint="eastAsia" w:ascii="宋体" w:hAnsi="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000000"/>
                <w:kern w:val="0"/>
                <w:sz w:val="22"/>
                <w:szCs w:val="22"/>
                <w:highlight w:val="none"/>
                <w:u w:val="none"/>
                <w:lang w:val="en-US" w:eastAsia="zh-CN" w:bidi="ar"/>
              </w:rPr>
              <w:t>%的带CMA标识第三方检测机构出具的检测报告复印件加盖公章</w:t>
            </w:r>
            <w:r>
              <w:rPr>
                <w:rFonts w:hint="eastAsia" w:ascii="宋体" w:hAnsi="宋体" w:cs="宋体"/>
                <w:i w:val="0"/>
                <w:iCs w:val="0"/>
                <w:color w:val="000000"/>
                <w:kern w:val="0"/>
                <w:sz w:val="22"/>
                <w:szCs w:val="22"/>
                <w:highlight w:val="none"/>
                <w:u w:val="none"/>
                <w:lang w:val="en-US" w:eastAsia="zh-CN" w:bidi="ar"/>
              </w:rPr>
              <w:t>；其中</w:t>
            </w:r>
            <w:r>
              <w:rPr>
                <w:rFonts w:hint="eastAsia" w:ascii="宋体" w:hAnsi="宋体" w:eastAsia="宋体" w:cs="宋体"/>
                <w:i w:val="0"/>
                <w:iCs w:val="0"/>
                <w:color w:val="000000"/>
                <w:kern w:val="0"/>
                <w:sz w:val="22"/>
                <w:szCs w:val="22"/>
                <w:highlight w:val="none"/>
                <w:u w:val="none"/>
                <w:lang w:val="en-US" w:eastAsia="zh-CN" w:bidi="ar"/>
              </w:rPr>
              <w:t>油烟净化效率≥99%的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得</w:t>
            </w: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cs="宋体"/>
                <w:color w:val="000000" w:themeColor="text1"/>
                <w:sz w:val="22"/>
                <w:szCs w:val="22"/>
                <w:highlight w:val="none"/>
                <w:lang w:val="en-US" w:eastAsia="zh-CN"/>
                <w14:textFill>
                  <w14:solidFill>
                    <w14:schemeClr w14:val="tx1"/>
                  </w14:solidFill>
                </w14:textFill>
              </w:rPr>
              <w:t>96%</w:t>
            </w:r>
            <w:r>
              <w:rPr>
                <w:rFonts w:hint="eastAsia" w:ascii="东文宋体" w:hAnsi="东文宋体" w:eastAsia="东文宋体" w:cs="东文宋体"/>
                <w:color w:val="000000" w:themeColor="text1"/>
                <w:sz w:val="22"/>
                <w:szCs w:val="22"/>
                <w:highlight w:val="none"/>
                <w:lang w:val="en-US" w:eastAsia="zh-CN"/>
                <w14:textFill>
                  <w14:solidFill>
                    <w14:schemeClr w14:val="tx1"/>
                  </w14:solidFill>
                </w14:textFill>
              </w:rPr>
              <w:t>≤</w:t>
            </w:r>
            <w:r>
              <w:rPr>
                <w:rFonts w:hint="eastAsia" w:ascii="宋体" w:hAnsi="宋体" w:eastAsia="宋体" w:cs="宋体"/>
                <w:i w:val="0"/>
                <w:iCs w:val="0"/>
                <w:color w:val="000000"/>
                <w:kern w:val="0"/>
                <w:sz w:val="22"/>
                <w:szCs w:val="22"/>
                <w:highlight w:val="none"/>
                <w:u w:val="none"/>
                <w:lang w:val="en-US" w:eastAsia="zh-CN" w:bidi="ar"/>
              </w:rPr>
              <w:t>油烟净化效率</w:t>
            </w:r>
            <w:r>
              <w:rPr>
                <w:rFonts w:hint="eastAsia" w:ascii="华文中宋" w:hAnsi="华文中宋" w:eastAsia="华文中宋" w:cs="华文中宋"/>
                <w:i w:val="0"/>
                <w:iCs w:val="0"/>
                <w:color w:val="000000"/>
                <w:kern w:val="0"/>
                <w:sz w:val="22"/>
                <w:szCs w:val="22"/>
                <w:highlight w:val="none"/>
                <w:u w:val="none"/>
                <w:lang w:val="en-US" w:eastAsia="zh-CN" w:bidi="ar"/>
              </w:rPr>
              <w:t>&lt;</w:t>
            </w:r>
            <w:r>
              <w:rPr>
                <w:rFonts w:hint="eastAsia" w:ascii="宋体" w:hAnsi="宋体" w:eastAsia="宋体" w:cs="宋体"/>
                <w:i w:val="0"/>
                <w:iCs w:val="0"/>
                <w:color w:val="000000"/>
                <w:kern w:val="0"/>
                <w:sz w:val="22"/>
                <w:szCs w:val="22"/>
                <w:highlight w:val="none"/>
                <w:u w:val="none"/>
                <w:lang w:val="en-US" w:eastAsia="zh-CN" w:bidi="ar"/>
              </w:rPr>
              <w:t>9</w:t>
            </w:r>
            <w:r>
              <w:rPr>
                <w:rFonts w:hint="eastAsia" w:ascii="宋体" w:hAnsi="宋体" w:cs="宋体"/>
                <w:i w:val="0"/>
                <w:iCs w:val="0"/>
                <w:color w:val="000000"/>
                <w:kern w:val="0"/>
                <w:sz w:val="22"/>
                <w:szCs w:val="22"/>
                <w:highlight w:val="none"/>
                <w:u w:val="none"/>
                <w:lang w:val="en-US" w:eastAsia="zh-CN" w:bidi="ar"/>
              </w:rPr>
              <w:t>9</w:t>
            </w:r>
            <w:r>
              <w:rPr>
                <w:rFonts w:hint="eastAsia" w:ascii="宋体" w:hAnsi="宋体" w:eastAsia="宋体" w:cs="宋体"/>
                <w:i w:val="0"/>
                <w:iCs w:val="0"/>
                <w:color w:val="000000"/>
                <w:kern w:val="0"/>
                <w:sz w:val="22"/>
                <w:szCs w:val="22"/>
                <w:highlight w:val="none"/>
                <w:u w:val="none"/>
                <w:lang w:val="en-US" w:eastAsia="zh-CN" w:bidi="ar"/>
              </w:rPr>
              <w:t>%的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得</w:t>
            </w:r>
            <w:r>
              <w:rPr>
                <w:rFonts w:hint="eastAsia" w:ascii="宋体" w:hAnsi="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lang w:val="en-US" w:eastAsia="zh-CN"/>
                <w14:textFill>
                  <w14:solidFill>
                    <w14:schemeClr w14:val="tx1"/>
                  </w14:solidFill>
                </w14:textFill>
              </w:rPr>
              <w:t>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cs="宋体"/>
                <w:b w:val="0"/>
                <w:bCs w:val="0"/>
                <w:color w:val="FF0000"/>
                <w:sz w:val="22"/>
                <w:szCs w:val="22"/>
                <w:highlight w:val="none"/>
                <w:lang w:val="en-US" w:eastAsia="zh-CN"/>
              </w:rPr>
              <w:t>资料</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并</w:t>
            </w:r>
            <w:r>
              <w:rPr>
                <w:rFonts w:hint="eastAsia" w:ascii="宋体" w:hAnsi="宋体" w:eastAsia="宋体" w:cs="宋体"/>
                <w:b w:val="0"/>
                <w:bCs w:val="0"/>
                <w:color w:val="FF0000"/>
                <w:sz w:val="22"/>
                <w:szCs w:val="22"/>
                <w:highlight w:val="none"/>
                <w:lang w:val="en-US" w:eastAsia="zh-CN"/>
              </w:rPr>
              <w:t>提供</w:t>
            </w:r>
            <w:r>
              <w:rPr>
                <w:rFonts w:hint="eastAsia" w:ascii="宋体" w:hAnsi="宋体" w:cs="宋体"/>
                <w:b w:val="0"/>
                <w:bCs w:val="0"/>
                <w:color w:val="FF0000"/>
                <w:sz w:val="22"/>
                <w:szCs w:val="22"/>
                <w:highlight w:val="none"/>
                <w:lang w:val="en-US" w:eastAsia="zh-CN"/>
              </w:rPr>
              <w:t>其中</w:t>
            </w:r>
            <w:r>
              <w:rPr>
                <w:rStyle w:val="13"/>
                <w:rFonts w:hint="eastAsia" w:ascii="宋体" w:hAnsi="宋体" w:eastAsia="宋体" w:cs="宋体"/>
                <w:b w:val="0"/>
                <w:bCs w:val="0"/>
                <w:color w:val="FF0000"/>
                <w:sz w:val="22"/>
                <w:szCs w:val="22"/>
                <w:highlight w:val="none"/>
                <w:lang w:val="en-US" w:eastAsia="zh-CN"/>
              </w:rPr>
              <w:t>证书在国家认证认可监督管理委员会官方网站（www.cnca.gov.cn）的查询截图</w:t>
            </w:r>
            <w:r>
              <w:rPr>
                <w:rFonts w:hint="eastAsia" w:ascii="宋体" w:hAnsi="宋体" w:eastAsia="宋体" w:cs="宋体"/>
                <w:b w:val="0"/>
                <w:bCs w:val="0"/>
                <w:color w:val="FF0000"/>
                <w:sz w:val="22"/>
                <w:szCs w:val="22"/>
                <w:highlight w:val="none"/>
              </w:rPr>
              <w:t>。</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0"/>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2.10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风柜</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w:t>
            </w:r>
          </w:p>
        </w:tc>
        <w:tc>
          <w:tcPr>
            <w:tcW w:w="6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所投风机通过GB19761-2020《通风机能效限定值及能效等级》的相关要求进行测试，检测结果</w:t>
            </w:r>
            <w:r>
              <w:rPr>
                <w:rFonts w:hint="eastAsia" w:ascii="宋体" w:hAnsi="宋体" w:cs="宋体"/>
                <w:i w:val="0"/>
                <w:iCs w:val="0"/>
                <w:color w:val="000000"/>
                <w:kern w:val="0"/>
                <w:sz w:val="22"/>
                <w:szCs w:val="22"/>
                <w:highlight w:val="none"/>
                <w:u w:val="none"/>
                <w:lang w:val="en-US" w:eastAsia="zh-CN" w:bidi="ar"/>
              </w:rPr>
              <w:t>至少达到二</w:t>
            </w:r>
            <w:r>
              <w:rPr>
                <w:rFonts w:hint="eastAsia" w:ascii="宋体" w:hAnsi="宋体" w:eastAsia="宋体" w:cs="宋体"/>
                <w:i w:val="0"/>
                <w:iCs w:val="0"/>
                <w:color w:val="000000"/>
                <w:kern w:val="0"/>
                <w:sz w:val="22"/>
                <w:szCs w:val="22"/>
                <w:highlight w:val="none"/>
                <w:u w:val="none"/>
                <w:lang w:val="en-US" w:eastAsia="zh-CN" w:bidi="ar"/>
              </w:rPr>
              <w:t>级能效要求，提供具有CMA或CNAS 或CAL标识的能源效率检测报告扫描件</w:t>
            </w:r>
            <w:r>
              <w:rPr>
                <w:rFonts w:hint="eastAsia" w:ascii="宋体" w:hAnsi="宋体" w:cs="宋体"/>
                <w:i w:val="0"/>
                <w:iCs w:val="0"/>
                <w:color w:val="000000"/>
                <w:kern w:val="0"/>
                <w:sz w:val="22"/>
                <w:szCs w:val="22"/>
                <w:highlight w:val="none"/>
                <w:u w:val="none"/>
                <w:lang w:val="en-US" w:eastAsia="zh-CN" w:bidi="ar"/>
              </w:rPr>
              <w:t>；其中一</w:t>
            </w:r>
            <w:r>
              <w:rPr>
                <w:rFonts w:hint="eastAsia" w:ascii="宋体" w:hAnsi="宋体" w:eastAsia="宋体" w:cs="宋体"/>
                <w:i w:val="0"/>
                <w:iCs w:val="0"/>
                <w:color w:val="000000"/>
                <w:kern w:val="0"/>
                <w:sz w:val="22"/>
                <w:szCs w:val="22"/>
                <w:highlight w:val="none"/>
                <w:u w:val="none"/>
                <w:lang w:val="en-US" w:eastAsia="zh-CN" w:bidi="ar"/>
              </w:rPr>
              <w:t>级能效</w:t>
            </w:r>
            <w:r>
              <w:rPr>
                <w:rFonts w:hint="eastAsia" w:ascii="宋体" w:hAnsi="宋体" w:eastAsia="宋体" w:cs="宋体"/>
                <w:color w:val="000000" w:themeColor="text1"/>
                <w:sz w:val="22"/>
                <w:szCs w:val="22"/>
                <w:highlight w:val="none"/>
                <w:lang w:val="en-US" w:eastAsia="zh-CN"/>
                <w14:textFill>
                  <w14:solidFill>
                    <w14:schemeClr w14:val="tx1"/>
                  </w14:solidFill>
                </w14:textFill>
              </w:rPr>
              <w:t>的得1分，</w:t>
            </w:r>
            <w:r>
              <w:rPr>
                <w:rFonts w:hint="eastAsia" w:ascii="宋体" w:hAnsi="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级能效</w:t>
            </w:r>
            <w:r>
              <w:rPr>
                <w:rFonts w:hint="eastAsia" w:ascii="宋体" w:hAnsi="宋体" w:eastAsia="宋体" w:cs="宋体"/>
                <w:color w:val="000000" w:themeColor="text1"/>
                <w:sz w:val="22"/>
                <w:szCs w:val="22"/>
                <w:highlight w:val="none"/>
                <w:lang w:val="en-US" w:eastAsia="zh-CN"/>
                <w14:textFill>
                  <w14:solidFill>
                    <w14:schemeClr w14:val="tx1"/>
                  </w14:solidFill>
                </w14:textFill>
              </w:rPr>
              <w:t>的得0.5分，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所投风机检测项目符合GB/T1236-2017《工业通风机用标准化风道性能试验》、GB/T2888-2008《风机和罗茨鼓风机噪声测量方法》、JB/T8689-2014《通风机振动检测及其限值》、JB/T10563-2006《一般用途离心通风机技术条件》标准，检测结果符合要求，</w:t>
            </w:r>
            <w:r>
              <w:rPr>
                <w:rFonts w:hint="eastAsia" w:ascii="宋体" w:hAnsi="宋体" w:cs="宋体"/>
                <w:i w:val="0"/>
                <w:iCs w:val="0"/>
                <w:color w:val="000000"/>
                <w:kern w:val="0"/>
                <w:sz w:val="22"/>
                <w:szCs w:val="22"/>
                <w:highlight w:val="none"/>
                <w:u w:val="none"/>
                <w:lang w:val="en-US" w:eastAsia="zh-CN" w:bidi="ar"/>
              </w:rPr>
              <w:t>要求</w:t>
            </w:r>
            <w:r>
              <w:rPr>
                <w:rFonts w:hint="eastAsia" w:ascii="宋体" w:hAnsi="宋体" w:eastAsia="宋体" w:cs="宋体"/>
                <w:i w:val="0"/>
                <w:iCs w:val="0"/>
                <w:color w:val="000000"/>
                <w:kern w:val="0"/>
                <w:sz w:val="22"/>
                <w:szCs w:val="22"/>
                <w:highlight w:val="none"/>
                <w:u w:val="none"/>
                <w:lang w:val="en-US" w:eastAsia="zh-CN" w:bidi="ar"/>
              </w:rPr>
              <w:t>噪音值≤20分贝(dB)，提供具有CMA或CNAS或CAL标识的检测报告扫描件</w:t>
            </w:r>
            <w:r>
              <w:rPr>
                <w:rFonts w:hint="eastAsia" w:ascii="宋体" w:hAnsi="宋体" w:cs="宋体"/>
                <w:i w:val="0"/>
                <w:iCs w:val="0"/>
                <w:color w:val="000000"/>
                <w:kern w:val="0"/>
                <w:sz w:val="22"/>
                <w:szCs w:val="22"/>
                <w:highlight w:val="none"/>
                <w:u w:val="none"/>
                <w:lang w:val="en-US" w:eastAsia="zh-CN" w:bidi="ar"/>
              </w:rPr>
              <w:t>；其中</w:t>
            </w:r>
            <w:r>
              <w:rPr>
                <w:rFonts w:hint="eastAsia" w:ascii="宋体" w:hAnsi="宋体" w:eastAsia="宋体" w:cs="宋体"/>
                <w:i w:val="0"/>
                <w:iCs w:val="0"/>
                <w:color w:val="000000"/>
                <w:kern w:val="0"/>
                <w:sz w:val="22"/>
                <w:szCs w:val="22"/>
                <w:highlight w:val="none"/>
                <w:u w:val="none"/>
                <w:lang w:val="en-US" w:eastAsia="zh-CN" w:bidi="ar"/>
              </w:rPr>
              <w:t>噪音值≤16分贝(dB)</w:t>
            </w:r>
            <w:r>
              <w:rPr>
                <w:rFonts w:hint="eastAsia" w:ascii="宋体" w:hAnsi="宋体" w:eastAsia="宋体" w:cs="宋体"/>
                <w:color w:val="000000" w:themeColor="text1"/>
                <w:sz w:val="22"/>
                <w:szCs w:val="22"/>
                <w:highlight w:val="none"/>
                <w:lang w:val="en-US" w:eastAsia="zh-CN"/>
                <w14:textFill>
                  <w14:solidFill>
                    <w14:schemeClr w14:val="tx1"/>
                  </w14:solidFill>
                </w14:textFill>
              </w:rPr>
              <w:t>的得1分，</w:t>
            </w:r>
            <w:r>
              <w:rPr>
                <w:rFonts w:hint="eastAsia" w:ascii="宋体" w:hAnsi="宋体" w:eastAsia="宋体" w:cs="宋体"/>
                <w:i w:val="0"/>
                <w:iCs w:val="0"/>
                <w:color w:val="000000"/>
                <w:kern w:val="0"/>
                <w:sz w:val="22"/>
                <w:szCs w:val="22"/>
                <w:highlight w:val="none"/>
                <w:u w:val="none"/>
                <w:lang w:val="en-US" w:eastAsia="zh-CN" w:bidi="ar"/>
              </w:rPr>
              <w:t>16分贝(dB)&lt;噪音值≤20分贝(dB)的</w:t>
            </w:r>
            <w:r>
              <w:rPr>
                <w:rFonts w:hint="eastAsia" w:ascii="宋体" w:hAnsi="宋体" w:eastAsia="宋体" w:cs="宋体"/>
                <w:color w:val="000000" w:themeColor="text1"/>
                <w:sz w:val="22"/>
                <w:szCs w:val="22"/>
                <w:highlight w:val="none"/>
                <w:lang w:val="en-US" w:eastAsia="zh-CN"/>
                <w14:textFill>
                  <w14:solidFill>
                    <w14:schemeClr w14:val="tx1"/>
                  </w14:solidFill>
                </w14:textFill>
              </w:rPr>
              <w:t>得0.5分，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firstLine="440" w:firstLineChars="20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所投风机通过GB/T 4208-2017《外壳防护等级（IP代码）》标准</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所检项目均符合检验依据要求并判定结果为合格。外壳防护等级</w:t>
            </w:r>
            <w:r>
              <w:rPr>
                <w:rFonts w:hint="eastAsia" w:ascii="宋体" w:hAnsi="宋体" w:cs="宋体"/>
                <w:i w:val="0"/>
                <w:iCs w:val="0"/>
                <w:color w:val="000000"/>
                <w:kern w:val="0"/>
                <w:sz w:val="22"/>
                <w:szCs w:val="22"/>
                <w:highlight w:val="none"/>
                <w:u w:val="none"/>
                <w:lang w:val="en-US" w:eastAsia="zh-CN" w:bidi="ar"/>
              </w:rPr>
              <w:t>至少</w:t>
            </w:r>
            <w:r>
              <w:rPr>
                <w:rFonts w:hint="eastAsia" w:ascii="宋体" w:hAnsi="宋体" w:eastAsia="宋体" w:cs="宋体"/>
                <w:i w:val="0"/>
                <w:iCs w:val="0"/>
                <w:color w:val="000000"/>
                <w:kern w:val="0"/>
                <w:sz w:val="22"/>
                <w:szCs w:val="22"/>
                <w:highlight w:val="none"/>
                <w:u w:val="none"/>
                <w:lang w:val="en-US" w:eastAsia="zh-CN" w:bidi="ar"/>
              </w:rPr>
              <w:t>达到IP65标准，提供第三方检测机构出具的CMA、ilac-MRA和CNAS标识的产品检测报告扫描件</w:t>
            </w:r>
            <w:r>
              <w:rPr>
                <w:rFonts w:hint="eastAsia" w:ascii="宋体" w:hAnsi="宋体" w:cs="宋体"/>
                <w:i w:val="0"/>
                <w:iCs w:val="0"/>
                <w:color w:val="000000"/>
                <w:kern w:val="0"/>
                <w:sz w:val="22"/>
                <w:szCs w:val="22"/>
                <w:highlight w:val="none"/>
                <w:u w:val="none"/>
                <w:lang w:val="en-US" w:eastAsia="zh-CN" w:bidi="ar"/>
              </w:rPr>
              <w:t>；其中</w:t>
            </w:r>
            <w:r>
              <w:rPr>
                <w:rFonts w:hint="eastAsia" w:ascii="宋体" w:hAnsi="宋体" w:eastAsia="宋体" w:cs="宋体"/>
                <w:i w:val="0"/>
                <w:iCs w:val="0"/>
                <w:color w:val="000000"/>
                <w:kern w:val="0"/>
                <w:sz w:val="22"/>
                <w:szCs w:val="22"/>
                <w:highlight w:val="none"/>
                <w:u w:val="none"/>
                <w:lang w:val="en-US" w:eastAsia="zh-CN" w:bidi="ar"/>
              </w:rPr>
              <w:t>外壳防护等级达到IP65标准</w:t>
            </w:r>
            <w:r>
              <w:rPr>
                <w:rFonts w:hint="eastAsia" w:ascii="宋体" w:hAnsi="宋体" w:cs="宋体"/>
                <w:i w:val="0"/>
                <w:iCs w:val="0"/>
                <w:color w:val="000000"/>
                <w:kern w:val="0"/>
                <w:sz w:val="22"/>
                <w:szCs w:val="22"/>
                <w:highlight w:val="none"/>
                <w:u w:val="none"/>
                <w:lang w:val="en-US" w:eastAsia="zh-CN" w:bidi="ar"/>
              </w:rPr>
              <w:t>的</w:t>
            </w:r>
            <w:r>
              <w:rPr>
                <w:rFonts w:hint="eastAsia" w:ascii="宋体" w:hAnsi="宋体" w:eastAsia="宋体" w:cs="宋体"/>
                <w:i w:val="0"/>
                <w:iCs w:val="0"/>
                <w:color w:val="000000"/>
                <w:kern w:val="0"/>
                <w:sz w:val="22"/>
                <w:szCs w:val="22"/>
                <w:highlight w:val="none"/>
                <w:u w:val="none"/>
                <w:lang w:val="en-US" w:eastAsia="zh-CN" w:bidi="ar"/>
              </w:rPr>
              <w:t>得</w:t>
            </w:r>
            <w:r>
              <w:rPr>
                <w:rFonts w:hint="eastAsia" w:ascii="宋体" w:hAnsi="宋体" w:cs="宋体"/>
                <w:i w:val="0"/>
                <w:iCs w:val="0"/>
                <w:color w:val="000000"/>
                <w:kern w:val="0"/>
                <w:sz w:val="22"/>
                <w:szCs w:val="22"/>
                <w:highlight w:val="none"/>
                <w:u w:val="none"/>
                <w:lang w:val="en-US" w:eastAsia="zh-CN" w:bidi="ar"/>
              </w:rPr>
              <w:t>0.5</w:t>
            </w:r>
            <w:r>
              <w:rPr>
                <w:rFonts w:hint="eastAsia" w:ascii="宋体" w:hAnsi="宋体" w:eastAsia="宋体" w:cs="宋体"/>
                <w:i w:val="0"/>
                <w:iCs w:val="0"/>
                <w:color w:val="000000"/>
                <w:kern w:val="0"/>
                <w:sz w:val="22"/>
                <w:szCs w:val="22"/>
                <w:highlight w:val="none"/>
                <w:u w:val="none"/>
                <w:lang w:val="en-US" w:eastAsia="zh-CN" w:bidi="ar"/>
              </w:rPr>
              <w:t>分，外壳防护等级达到IP69标准</w:t>
            </w:r>
            <w:r>
              <w:rPr>
                <w:rFonts w:hint="eastAsia" w:ascii="宋体" w:hAnsi="宋体" w:cs="宋体"/>
                <w:i w:val="0"/>
                <w:iCs w:val="0"/>
                <w:color w:val="000000"/>
                <w:kern w:val="0"/>
                <w:sz w:val="22"/>
                <w:szCs w:val="22"/>
                <w:highlight w:val="none"/>
                <w:u w:val="none"/>
                <w:lang w:val="en-US" w:eastAsia="zh-CN" w:bidi="ar"/>
              </w:rPr>
              <w:t>的</w:t>
            </w:r>
            <w:r>
              <w:rPr>
                <w:rFonts w:hint="eastAsia" w:ascii="宋体" w:hAnsi="宋体" w:eastAsia="宋体" w:cs="宋体"/>
                <w:i w:val="0"/>
                <w:iCs w:val="0"/>
                <w:color w:val="000000"/>
                <w:kern w:val="0"/>
                <w:sz w:val="22"/>
                <w:szCs w:val="22"/>
                <w:highlight w:val="none"/>
                <w:u w:val="none"/>
                <w:lang w:val="en-US" w:eastAsia="zh-CN" w:bidi="ar"/>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1分，</w:t>
            </w:r>
            <w:r>
              <w:rPr>
                <w:rFonts w:hint="eastAsia" w:ascii="宋体" w:hAnsi="宋体" w:eastAsia="宋体" w:cs="宋体"/>
                <w:color w:val="000000" w:themeColor="text1"/>
                <w:sz w:val="22"/>
                <w:szCs w:val="22"/>
                <w:highlight w:val="none"/>
                <w14:textFill>
                  <w14:solidFill>
                    <w14:schemeClr w14:val="tx1"/>
                  </w14:solidFill>
                </w14:textFill>
              </w:rPr>
              <w:t>不满足</w:t>
            </w:r>
            <w:r>
              <w:rPr>
                <w:rFonts w:hint="eastAsia" w:ascii="宋体" w:hAnsi="宋体" w:eastAsia="宋体" w:cs="宋体"/>
                <w:color w:val="000000" w:themeColor="text1"/>
                <w:sz w:val="22"/>
                <w:szCs w:val="22"/>
                <w:highlight w:val="none"/>
                <w:lang w:val="en-US" w:eastAsia="zh-CN"/>
                <w14:textFill>
                  <w14:solidFill>
                    <w14:schemeClr w14:val="tx1"/>
                  </w14:solidFill>
                </w14:textFill>
              </w:rPr>
              <w:t>或不提供</w:t>
            </w:r>
            <w:r>
              <w:rPr>
                <w:rFonts w:hint="eastAsia" w:ascii="宋体" w:hAnsi="宋体" w:eastAsia="宋体" w:cs="宋体"/>
                <w:color w:val="000000" w:themeColor="text1"/>
                <w:sz w:val="22"/>
                <w:szCs w:val="22"/>
                <w:highlight w:val="none"/>
                <w14:textFill>
                  <w14:solidFill>
                    <w14:schemeClr w14:val="tx1"/>
                  </w14:solidFill>
                </w14:textFill>
              </w:rPr>
              <w:t>不得分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0" w:lineRule="atLeast"/>
              <w:ind w:left="0" w:right="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Style w:val="13"/>
                <w:rFonts w:hint="eastAsia" w:ascii="宋体" w:hAnsi="宋体" w:eastAsia="宋体" w:cs="宋体"/>
                <w:b w:val="0"/>
                <w:bCs w:val="0"/>
                <w:color w:val="FF0000"/>
                <w:sz w:val="22"/>
                <w:szCs w:val="22"/>
                <w:highlight w:val="none"/>
              </w:rPr>
              <w:t>【</w:t>
            </w:r>
            <w:r>
              <w:rPr>
                <w:rFonts w:hint="eastAsia" w:ascii="宋体" w:hAnsi="宋体" w:eastAsia="宋体" w:cs="宋体"/>
                <w:b w:val="0"/>
                <w:bCs w:val="0"/>
                <w:color w:val="FF0000"/>
                <w:sz w:val="22"/>
                <w:szCs w:val="22"/>
                <w:highlight w:val="none"/>
              </w:rPr>
              <w:t>投标人提供</w:t>
            </w:r>
            <w:r>
              <w:rPr>
                <w:rFonts w:hint="eastAsia" w:ascii="宋体" w:hAnsi="宋体" w:eastAsia="宋体" w:cs="宋体"/>
                <w:b w:val="0"/>
                <w:bCs w:val="0"/>
                <w:color w:val="FF0000"/>
                <w:sz w:val="22"/>
                <w:szCs w:val="22"/>
                <w:highlight w:val="none"/>
                <w:lang w:val="en-US" w:eastAsia="zh-CN"/>
              </w:rPr>
              <w:t>产品</w:t>
            </w:r>
            <w:r>
              <w:rPr>
                <w:rFonts w:hint="eastAsia" w:ascii="宋体" w:hAnsi="宋体" w:eastAsia="宋体" w:cs="宋体"/>
                <w:b w:val="0"/>
                <w:bCs w:val="0"/>
                <w:color w:val="FF0000"/>
                <w:sz w:val="22"/>
                <w:szCs w:val="22"/>
                <w:highlight w:val="none"/>
              </w:rPr>
              <w:t>制造商的以上</w:t>
            </w:r>
            <w:r>
              <w:rPr>
                <w:rFonts w:hint="eastAsia" w:ascii="宋体" w:hAnsi="宋体" w:cs="宋体"/>
                <w:b w:val="0"/>
                <w:bCs w:val="0"/>
                <w:color w:val="FF0000"/>
                <w:sz w:val="22"/>
                <w:szCs w:val="22"/>
                <w:highlight w:val="none"/>
                <w:lang w:val="en-US" w:eastAsia="zh-CN"/>
              </w:rPr>
              <w:t>资料</w:t>
            </w:r>
            <w:r>
              <w:rPr>
                <w:rFonts w:hint="eastAsia" w:ascii="宋体" w:hAnsi="宋体" w:eastAsia="宋体" w:cs="宋体"/>
                <w:b w:val="0"/>
                <w:bCs w:val="0"/>
                <w:color w:val="FF0000"/>
                <w:sz w:val="22"/>
                <w:szCs w:val="22"/>
                <w:highlight w:val="none"/>
              </w:rPr>
              <w:t>的清晰扫描件或复印件</w:t>
            </w:r>
            <w:r>
              <w:rPr>
                <w:rStyle w:val="13"/>
                <w:rFonts w:hint="eastAsia" w:ascii="宋体" w:hAnsi="宋体" w:eastAsia="宋体" w:cs="宋体"/>
                <w:b w:val="0"/>
                <w:bCs w:val="0"/>
                <w:color w:val="FF0000"/>
                <w:sz w:val="22"/>
                <w:szCs w:val="22"/>
                <w:highlight w:val="none"/>
              </w:rPr>
              <w:t>】</w:t>
            </w:r>
          </w:p>
        </w:tc>
      </w:tr>
      <w:tr>
        <w:tblPrEx>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2.11</w:t>
            </w:r>
          </w:p>
        </w:tc>
        <w:tc>
          <w:tcPr>
            <w:tcW w:w="16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项目实施方案</w:t>
            </w:r>
          </w:p>
        </w:tc>
        <w:tc>
          <w:tcPr>
            <w:tcW w:w="7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12</w:t>
            </w:r>
          </w:p>
        </w:tc>
        <w:tc>
          <w:tcPr>
            <w:tcW w:w="61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color w:val="000000" w:themeColor="text1"/>
                <w:kern w:val="0"/>
                <w:sz w:val="22"/>
                <w:szCs w:val="22"/>
                <w:highlight w:val="none"/>
                <w14:textFill>
                  <w14:solidFill>
                    <w14:schemeClr w14:val="tx1"/>
                  </w14:solidFill>
                </w14:textFill>
              </w:rPr>
              <w:t>比较各投标人的整体服务方案，包括</w:t>
            </w:r>
            <w:r>
              <w:rPr>
                <w:rFonts w:hint="eastAsia" w:ascii="宋体" w:hAnsi="宋体" w:eastAsia="宋体" w:cs="宋体"/>
                <w:iCs w:val="0"/>
                <w:kern w:val="0"/>
                <w:sz w:val="21"/>
                <w:szCs w:val="21"/>
              </w:rPr>
              <w:t>但不限于以下几点：</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人员</w:t>
            </w:r>
            <w:r>
              <w:rPr>
                <w:rFonts w:hint="eastAsia" w:ascii="宋体" w:hAnsi="宋体" w:cs="宋体"/>
                <w:color w:val="000000" w:themeColor="text1"/>
                <w:kern w:val="0"/>
                <w:sz w:val="22"/>
                <w:szCs w:val="22"/>
                <w:highlight w:val="none"/>
                <w:lang w:eastAsia="zh-CN"/>
                <w14:textFill>
                  <w14:solidFill>
                    <w14:schemeClr w14:val="tx1"/>
                  </w14:solidFill>
                </w14:textFill>
              </w:rPr>
              <w:t>、物资</w:t>
            </w:r>
            <w:r>
              <w:rPr>
                <w:rFonts w:hint="eastAsia" w:ascii="宋体" w:hAnsi="宋体" w:eastAsia="宋体" w:cs="宋体"/>
                <w:color w:val="000000" w:themeColor="text1"/>
                <w:kern w:val="0"/>
                <w:sz w:val="22"/>
                <w:szCs w:val="22"/>
                <w:highlight w:val="none"/>
                <w14:textFill>
                  <w14:solidFill>
                    <w14:schemeClr w14:val="tx1"/>
                  </w14:solidFill>
                </w14:textFill>
              </w:rPr>
              <w:t>配置方案</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3分</w:t>
            </w:r>
            <w:r>
              <w:rPr>
                <w:rFonts w:hint="eastAsia" w:ascii="宋体" w:hAnsi="宋体" w:cs="宋体"/>
                <w:color w:val="000000" w:themeColor="text1"/>
                <w:kern w:val="0"/>
                <w:sz w:val="22"/>
                <w:szCs w:val="22"/>
                <w:highlight w:val="none"/>
                <w:lang w:eastAsia="zh-CN"/>
                <w14:textFill>
                  <w14:solidFill>
                    <w14:schemeClr w14:val="tx1"/>
                  </w14:solidFill>
                </w14:textFill>
              </w:rPr>
              <w:t>）；</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eastAsia="zh-CN"/>
                <w14:textFill>
                  <w14:solidFill>
                    <w14:schemeClr w14:val="tx1"/>
                  </w14:solidFill>
                </w14:textFill>
              </w:rPr>
              <w:t>供货安装方案（</w:t>
            </w:r>
            <w:r>
              <w:rPr>
                <w:rFonts w:hint="eastAsia" w:ascii="宋体" w:hAnsi="宋体" w:cs="宋体"/>
                <w:color w:val="000000" w:themeColor="text1"/>
                <w:kern w:val="0"/>
                <w:sz w:val="22"/>
                <w:szCs w:val="22"/>
                <w:highlight w:val="none"/>
                <w:lang w:val="en-US" w:eastAsia="zh-CN"/>
                <w14:textFill>
                  <w14:solidFill>
                    <w14:schemeClr w14:val="tx1"/>
                  </w14:solidFill>
                </w14:textFill>
              </w:rPr>
              <w:t>3分</w:t>
            </w:r>
            <w:r>
              <w:rPr>
                <w:rFonts w:hint="eastAsia" w:ascii="宋体" w:hAnsi="宋体" w:cs="宋体"/>
                <w:color w:val="000000" w:themeColor="text1"/>
                <w:kern w:val="0"/>
                <w:sz w:val="22"/>
                <w:szCs w:val="22"/>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调试培训方案</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3分</w:t>
            </w:r>
            <w:r>
              <w:rPr>
                <w:rFonts w:hint="eastAsia" w:ascii="宋体" w:hAnsi="宋体" w:cs="宋体"/>
                <w:color w:val="000000" w:themeColor="text1"/>
                <w:kern w:val="0"/>
                <w:sz w:val="22"/>
                <w:szCs w:val="22"/>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4、</w:t>
            </w:r>
            <w:r>
              <w:rPr>
                <w:rFonts w:hint="eastAsia" w:ascii="宋体" w:hAnsi="宋体" w:eastAsia="宋体" w:cs="宋体"/>
                <w:color w:val="000000" w:themeColor="text1"/>
                <w:kern w:val="0"/>
                <w:sz w:val="22"/>
                <w:szCs w:val="22"/>
                <w:highlight w:val="none"/>
                <w14:textFill>
                  <w14:solidFill>
                    <w14:schemeClr w14:val="tx1"/>
                  </w14:solidFill>
                </w14:textFill>
              </w:rPr>
              <w:t>验收方案</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3分</w:t>
            </w:r>
            <w:r>
              <w:rPr>
                <w:rFonts w:hint="eastAsia" w:ascii="宋体" w:hAnsi="宋体" w:cs="宋体"/>
                <w:color w:val="000000" w:themeColor="text1"/>
                <w:kern w:val="0"/>
                <w:sz w:val="22"/>
                <w:szCs w:val="22"/>
                <w:highlight w:val="no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rPr>
              <w:t>评审考核标准：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rPr>
              <w:t>（1）完整性：方案内容完整；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rPr>
              <w:t>（2）合理性：方案合理、恰当，遵循客观规律，符合法律法规要求；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rPr>
              <w:t>（3）针对性：方案必须契合本项目实际情况。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center"/>
              <w:rPr>
                <w:rFonts w:hint="eastAsia" w:ascii="Calibri" w:hAnsi="Calibri" w:eastAsia="宋体" w:cs="Times New Roman"/>
                <w:kern w:val="2"/>
                <w:sz w:val="21"/>
                <w:szCs w:val="22"/>
                <w:lang w:val="en-US" w:eastAsia="zh-CN" w:bidi="ar-SA"/>
              </w:rPr>
            </w:pPr>
            <w:r>
              <w:rPr>
                <w:rFonts w:hint="eastAsia" w:ascii="宋体" w:hAnsi="宋体" w:eastAsia="宋体" w:cs="宋体"/>
                <w:iCs w:val="0"/>
                <w:kern w:val="0"/>
                <w:sz w:val="21"/>
                <w:szCs w:val="21"/>
              </w:rPr>
              <w:t>对上述</w:t>
            </w:r>
            <w:r>
              <w:rPr>
                <w:rFonts w:hint="eastAsia" w:ascii="宋体" w:hAnsi="宋体" w:cs="宋体"/>
                <w:iCs w:val="0"/>
                <w:kern w:val="0"/>
                <w:sz w:val="21"/>
                <w:szCs w:val="21"/>
                <w:lang w:val="en-US" w:eastAsia="zh-CN"/>
              </w:rPr>
              <w:t>4</w:t>
            </w:r>
            <w:r>
              <w:rPr>
                <w:rFonts w:hint="eastAsia" w:ascii="宋体" w:hAnsi="宋体" w:eastAsia="宋体" w:cs="宋体"/>
                <w:iCs w:val="0"/>
                <w:kern w:val="0"/>
                <w:sz w:val="21"/>
                <w:szCs w:val="21"/>
              </w:rPr>
              <w:t>项评审内容进行打分，每项评审内容完全满足（1）－（3）项评审标准的得</w:t>
            </w:r>
            <w:r>
              <w:rPr>
                <w:rFonts w:hint="eastAsia" w:cs="宋体"/>
                <w:iCs w:val="0"/>
                <w:kern w:val="0"/>
                <w:sz w:val="21"/>
                <w:szCs w:val="21"/>
                <w:lang w:val="en-US" w:eastAsia="zh-CN"/>
              </w:rPr>
              <w:t>3</w:t>
            </w:r>
            <w:r>
              <w:rPr>
                <w:rFonts w:hint="eastAsia" w:ascii="宋体" w:hAnsi="宋体" w:eastAsia="宋体" w:cs="宋体"/>
                <w:iCs w:val="0"/>
                <w:kern w:val="0"/>
                <w:sz w:val="21"/>
                <w:szCs w:val="21"/>
              </w:rPr>
              <w:t>分，满足2项的得</w:t>
            </w:r>
            <w:r>
              <w:rPr>
                <w:rFonts w:hint="eastAsia" w:cs="宋体"/>
                <w:iCs w:val="0"/>
                <w:kern w:val="0"/>
                <w:sz w:val="21"/>
                <w:szCs w:val="21"/>
                <w:lang w:val="en-US" w:eastAsia="zh-CN"/>
              </w:rPr>
              <w:t>2</w:t>
            </w:r>
            <w:r>
              <w:rPr>
                <w:rFonts w:hint="eastAsia" w:ascii="宋体" w:hAnsi="宋体" w:eastAsia="宋体" w:cs="宋体"/>
                <w:iCs w:val="0"/>
                <w:kern w:val="0"/>
                <w:sz w:val="21"/>
                <w:szCs w:val="21"/>
              </w:rPr>
              <w:t>分，</w:t>
            </w:r>
            <w:r>
              <w:rPr>
                <w:rFonts w:hint="eastAsia" w:ascii="宋体" w:hAnsi="宋体" w:eastAsia="宋体" w:cs="宋体"/>
                <w:iCs w:val="0"/>
                <w:kern w:val="0"/>
                <w:sz w:val="21"/>
                <w:szCs w:val="21"/>
                <w:lang w:val="en-US" w:eastAsia="zh-CN"/>
              </w:rPr>
              <w:t>满足1项的得</w:t>
            </w:r>
            <w:r>
              <w:rPr>
                <w:rFonts w:hint="eastAsia" w:cs="宋体"/>
                <w:iCs w:val="0"/>
                <w:kern w:val="0"/>
                <w:sz w:val="21"/>
                <w:szCs w:val="21"/>
                <w:lang w:val="en-US" w:eastAsia="zh-CN"/>
              </w:rPr>
              <w:t>1</w:t>
            </w:r>
            <w:r>
              <w:rPr>
                <w:rFonts w:hint="eastAsia" w:ascii="宋体" w:hAnsi="宋体" w:eastAsia="宋体" w:cs="宋体"/>
                <w:iCs w:val="0"/>
                <w:kern w:val="0"/>
                <w:sz w:val="21"/>
                <w:szCs w:val="21"/>
                <w:lang w:val="en-US" w:eastAsia="zh-CN"/>
              </w:rPr>
              <w:t>分，</w:t>
            </w:r>
            <w:r>
              <w:rPr>
                <w:rFonts w:hint="eastAsia" w:ascii="宋体" w:hAnsi="宋体" w:eastAsia="宋体" w:cs="宋体"/>
                <w:iCs w:val="0"/>
                <w:kern w:val="0"/>
                <w:sz w:val="21"/>
                <w:szCs w:val="21"/>
              </w:rPr>
              <w:t>其他情况不得分。满分为</w:t>
            </w:r>
            <w:r>
              <w:rPr>
                <w:rFonts w:hint="eastAsia" w:ascii="宋体" w:hAnsi="宋体" w:eastAsia="宋体" w:cs="宋体"/>
                <w:iCs w:val="0"/>
                <w:kern w:val="0"/>
                <w:sz w:val="21"/>
                <w:szCs w:val="21"/>
                <w:lang w:val="en-US" w:eastAsia="zh-CN"/>
              </w:rPr>
              <w:t>1</w:t>
            </w:r>
            <w:r>
              <w:rPr>
                <w:rFonts w:hint="eastAsia" w:ascii="宋体" w:hAnsi="宋体" w:cs="宋体"/>
                <w:iCs w:val="0"/>
                <w:kern w:val="0"/>
                <w:sz w:val="21"/>
                <w:szCs w:val="21"/>
                <w:lang w:val="en-US" w:eastAsia="zh-CN"/>
              </w:rPr>
              <w:t>2</w:t>
            </w:r>
            <w:r>
              <w:rPr>
                <w:rFonts w:hint="eastAsia" w:ascii="宋体" w:hAnsi="宋体" w:eastAsia="宋体" w:cs="宋体"/>
                <w:iCs w:val="0"/>
                <w:kern w:val="0"/>
                <w:sz w:val="21"/>
                <w:szCs w:val="21"/>
              </w:rPr>
              <w:t>分。</w:t>
            </w:r>
          </w:p>
        </w:tc>
      </w:tr>
      <w:tr>
        <w:tblPrEx>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2.12</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质量控制及质量保证措施</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b/>
                <w:bCs/>
                <w:color w:val="000000" w:themeColor="text1"/>
                <w:kern w:val="2"/>
                <w:sz w:val="22"/>
                <w:szCs w:val="22"/>
                <w:highlight w:val="none"/>
                <w:lang w:val="en-US" w:eastAsia="zh-CN" w:bidi="ar-SA"/>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 w:val="0"/>
                <w:bCs w:val="0"/>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提供</w:t>
            </w:r>
            <w:r>
              <w:rPr>
                <w:rFonts w:hint="eastAsia" w:ascii="宋体" w:hAnsi="宋体" w:eastAsia="宋体" w:cs="宋体"/>
                <w:b w:val="0"/>
                <w:bCs w:val="0"/>
                <w:color w:val="000000" w:themeColor="text1"/>
                <w:kern w:val="0"/>
                <w:sz w:val="22"/>
                <w:szCs w:val="22"/>
                <w:highlight w:val="none"/>
                <w14:textFill>
                  <w14:solidFill>
                    <w14:schemeClr w14:val="tx1"/>
                  </w14:solidFill>
                </w14:textFill>
              </w:rPr>
              <w:t>质量控制及质量保证措施</w:t>
            </w:r>
            <w:r>
              <w:rPr>
                <w:rFonts w:hint="eastAsia" w:ascii="宋体" w:hAnsi="宋体" w:eastAsia="宋体" w:cs="宋体"/>
                <w:b w:val="0"/>
                <w:bCs w:val="0"/>
                <w:color w:val="000000" w:themeColor="text1"/>
                <w:kern w:val="0"/>
                <w:sz w:val="22"/>
                <w:szCs w:val="22"/>
                <w:highlight w:val="none"/>
                <w:lang w:val="en-US" w:eastAsia="zh-CN"/>
                <w14:textFill>
                  <w14:solidFill>
                    <w14:schemeClr w14:val="tx1"/>
                  </w14:solidFill>
                </w14:textFill>
              </w:rPr>
              <w:t>方案</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2"/>
                <w:szCs w:val="22"/>
                <w:lang w:val="en-US" w:eastAsia="zh-CN" w:bidi="ar"/>
                <w14:textFill>
                  <w14:solidFill>
                    <w14:schemeClr w14:val="tx1"/>
                  </w14:solidFill>
                </w14:textFill>
              </w:rPr>
              <w:t>包括以下内容：</w:t>
            </w:r>
          </w:p>
          <w:p>
            <w:pPr>
              <w:keepNext w:val="0"/>
              <w:keepLines w:val="0"/>
              <w:widowControl/>
              <w:numPr>
                <w:ilvl w:val="0"/>
                <w:numId w:val="3"/>
              </w:numPr>
              <w:suppressLineNumbers w:val="0"/>
              <w:autoSpaceDE w:val="0"/>
              <w:autoSpaceDN/>
              <w:adjustRightInd w:val="0"/>
              <w:snapToGrid w:val="0"/>
              <w:spacing w:before="0" w:beforeAutospacing="0" w:after="0" w:afterAutospacing="0" w:line="360" w:lineRule="auto"/>
              <w:ind w:left="0" w:leftChars="0" w:right="0" w:rightChars="0"/>
              <w:jc w:val="left"/>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b w:val="0"/>
                <w:bCs w:val="0"/>
                <w:color w:val="000000" w:themeColor="text1"/>
                <w:kern w:val="0"/>
                <w:sz w:val="22"/>
                <w:szCs w:val="22"/>
                <w:lang w:val="en-US" w:eastAsia="zh-CN" w:bidi="ar"/>
                <w14:textFill>
                  <w14:solidFill>
                    <w14:schemeClr w14:val="tx1"/>
                  </w14:solidFill>
                </w14:textFill>
              </w:rPr>
              <w:t>质量保障标准</w:t>
            </w:r>
            <w:r>
              <w:rPr>
                <w:rFonts w:hint="eastAsia" w:ascii="宋体" w:hAnsi="宋体" w:eastAsia="宋体" w:cs="宋体"/>
                <w:color w:val="000000" w:themeColor="text1"/>
                <w:kern w:val="0"/>
                <w:sz w:val="22"/>
                <w:szCs w:val="22"/>
                <w:lang w:val="en-US" w:eastAsia="zh-CN" w:bidi="ar"/>
                <w14:textFill>
                  <w14:solidFill>
                    <w14:schemeClr w14:val="tx1"/>
                  </w14:solidFill>
                </w14:textFill>
              </w:rPr>
              <w:t>。</w:t>
            </w:r>
          </w:p>
          <w:p>
            <w:pPr>
              <w:keepNext w:val="0"/>
              <w:keepLines w:val="0"/>
              <w:widowControl/>
              <w:numPr>
                <w:ilvl w:val="0"/>
                <w:numId w:val="3"/>
              </w:numPr>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质量保证具体措施。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14:textFill>
                  <w14:solidFill>
                    <w14:schemeClr w14:val="tx1"/>
                  </w14:solidFill>
                </w14:textFill>
              </w:rPr>
              <w:t>评审考核标准：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14:textFill>
                  <w14:solidFill>
                    <w14:schemeClr w14:val="tx1"/>
                  </w14:solidFill>
                </w14:textFill>
              </w:rPr>
              <w:t>（1）完整性：方案内容完整；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14:textFill>
                  <w14:solidFill>
                    <w14:schemeClr w14:val="tx1"/>
                  </w14:solidFill>
                </w14:textFill>
              </w:rPr>
              <w:t>（2）合理性：方案合理、恰当，遵循客观规律，符合法律法规要求；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14:textFill>
                  <w14:solidFill>
                    <w14:schemeClr w14:val="tx1"/>
                  </w14:solidFill>
                </w14:textFill>
              </w:rPr>
              <w:t>（3）针对性：方案必须契合本项目实际情况。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Cs/>
                <w:iCs w:val="0"/>
                <w:color w:val="000000" w:themeColor="text1"/>
                <w:kern w:val="0"/>
                <w:sz w:val="21"/>
                <w:szCs w:val="21"/>
                <w14:textFill>
                  <w14:solidFill>
                    <w14:schemeClr w14:val="tx1"/>
                  </w14:solidFill>
                </w14:textFill>
              </w:rPr>
              <w:t>对上述</w:t>
            </w:r>
            <w:r>
              <w:rPr>
                <w:rFonts w:hint="eastAsia" w:ascii="宋体" w:hAnsi="宋体" w:cs="宋体"/>
                <w:bCs/>
                <w:iCs w:val="0"/>
                <w:color w:val="000000" w:themeColor="text1"/>
                <w:kern w:val="0"/>
                <w:sz w:val="21"/>
                <w:szCs w:val="21"/>
                <w:lang w:val="en-US" w:eastAsia="zh-CN"/>
                <w14:textFill>
                  <w14:solidFill>
                    <w14:schemeClr w14:val="tx1"/>
                  </w14:solidFill>
                </w14:textFill>
              </w:rPr>
              <w:t>2</w:t>
            </w:r>
            <w:r>
              <w:rPr>
                <w:rFonts w:hint="eastAsia" w:ascii="宋体" w:hAnsi="宋体" w:eastAsia="宋体" w:cs="宋体"/>
                <w:bCs/>
                <w:iCs w:val="0"/>
                <w:color w:val="000000" w:themeColor="text1"/>
                <w:kern w:val="0"/>
                <w:sz w:val="21"/>
                <w:szCs w:val="21"/>
                <w14:textFill>
                  <w14:solidFill>
                    <w14:schemeClr w14:val="tx1"/>
                  </w14:solidFill>
                </w14:textFill>
              </w:rPr>
              <w:t>项评审内容进行打分，每项评审内容完全满足（1）－（3）项评审标准的得</w:t>
            </w:r>
            <w:r>
              <w:rPr>
                <w:rFonts w:hint="eastAsia" w:ascii="宋体" w:hAnsi="宋体" w:cs="宋体"/>
                <w:bCs/>
                <w:iCs w:val="0"/>
                <w:color w:val="000000" w:themeColor="text1"/>
                <w:kern w:val="0"/>
                <w:sz w:val="21"/>
                <w:szCs w:val="21"/>
                <w:lang w:val="en-US" w:eastAsia="zh-CN"/>
                <w14:textFill>
                  <w14:solidFill>
                    <w14:schemeClr w14:val="tx1"/>
                  </w14:solidFill>
                </w14:textFill>
              </w:rPr>
              <w:t>3</w:t>
            </w:r>
            <w:r>
              <w:rPr>
                <w:rFonts w:hint="eastAsia" w:ascii="宋体" w:hAnsi="宋体" w:eastAsia="宋体" w:cs="宋体"/>
                <w:bCs/>
                <w:iCs w:val="0"/>
                <w:color w:val="000000" w:themeColor="text1"/>
                <w:kern w:val="0"/>
                <w:sz w:val="21"/>
                <w:szCs w:val="21"/>
                <w14:textFill>
                  <w14:solidFill>
                    <w14:schemeClr w14:val="tx1"/>
                  </w14:solidFill>
                </w14:textFill>
              </w:rPr>
              <w:t>分，满足2项的得</w:t>
            </w:r>
            <w:r>
              <w:rPr>
                <w:rFonts w:hint="eastAsia" w:ascii="宋体" w:hAnsi="宋体" w:cs="宋体"/>
                <w:bCs/>
                <w:iCs w:val="0"/>
                <w:color w:val="000000" w:themeColor="text1"/>
                <w:kern w:val="0"/>
                <w:sz w:val="21"/>
                <w:szCs w:val="21"/>
                <w:lang w:val="en-US" w:eastAsia="zh-CN"/>
                <w14:textFill>
                  <w14:solidFill>
                    <w14:schemeClr w14:val="tx1"/>
                  </w14:solidFill>
                </w14:textFill>
              </w:rPr>
              <w:t>2</w:t>
            </w:r>
            <w:r>
              <w:rPr>
                <w:rFonts w:hint="eastAsia" w:ascii="宋体" w:hAnsi="宋体" w:eastAsia="宋体" w:cs="宋体"/>
                <w:bCs/>
                <w:iCs w:val="0"/>
                <w:color w:val="000000" w:themeColor="text1"/>
                <w:kern w:val="0"/>
                <w:sz w:val="21"/>
                <w:szCs w:val="21"/>
                <w14:textFill>
                  <w14:solidFill>
                    <w14:schemeClr w14:val="tx1"/>
                  </w14:solidFill>
                </w14:textFill>
              </w:rPr>
              <w:t>分，</w:t>
            </w:r>
            <w:r>
              <w:rPr>
                <w:rFonts w:hint="eastAsia" w:ascii="宋体" w:hAnsi="宋体" w:eastAsia="宋体" w:cs="宋体"/>
                <w:bCs/>
                <w:iCs w:val="0"/>
                <w:color w:val="000000" w:themeColor="text1"/>
                <w:kern w:val="0"/>
                <w:sz w:val="21"/>
                <w:szCs w:val="21"/>
                <w:lang w:val="en-US" w:eastAsia="zh-CN"/>
                <w14:textFill>
                  <w14:solidFill>
                    <w14:schemeClr w14:val="tx1"/>
                  </w14:solidFill>
                </w14:textFill>
              </w:rPr>
              <w:t>满足1项的得1分，</w:t>
            </w:r>
            <w:r>
              <w:rPr>
                <w:rFonts w:hint="eastAsia" w:ascii="宋体" w:hAnsi="宋体" w:eastAsia="宋体" w:cs="宋体"/>
                <w:bCs/>
                <w:iCs w:val="0"/>
                <w:color w:val="000000" w:themeColor="text1"/>
                <w:kern w:val="0"/>
                <w:sz w:val="21"/>
                <w:szCs w:val="21"/>
                <w14:textFill>
                  <w14:solidFill>
                    <w14:schemeClr w14:val="tx1"/>
                  </w14:solidFill>
                </w14:textFill>
              </w:rPr>
              <w:t>其他情况不得分。满分为</w:t>
            </w:r>
            <w:r>
              <w:rPr>
                <w:rFonts w:hint="eastAsia" w:ascii="宋体" w:hAnsi="宋体" w:cs="宋体"/>
                <w:bCs/>
                <w:iCs w:val="0"/>
                <w:color w:val="000000" w:themeColor="text1"/>
                <w:kern w:val="0"/>
                <w:sz w:val="21"/>
                <w:szCs w:val="21"/>
                <w:lang w:val="en-US" w:eastAsia="zh-CN"/>
                <w14:textFill>
                  <w14:solidFill>
                    <w14:schemeClr w14:val="tx1"/>
                  </w14:solidFill>
                </w14:textFill>
              </w:rPr>
              <w:t>6</w:t>
            </w:r>
            <w:r>
              <w:rPr>
                <w:rFonts w:hint="eastAsia" w:ascii="宋体" w:hAnsi="宋体" w:eastAsia="宋体" w:cs="宋体"/>
                <w:bCs/>
                <w:iCs w:val="0"/>
                <w:color w:val="000000" w:themeColor="text1"/>
                <w:kern w:val="0"/>
                <w:sz w:val="21"/>
                <w:szCs w:val="21"/>
                <w14:textFill>
                  <w14:solidFill>
                    <w14:schemeClr w14:val="tx1"/>
                  </w14:solidFill>
                </w14:textFill>
              </w:rPr>
              <w:t>分。</w:t>
            </w:r>
          </w:p>
        </w:tc>
      </w:tr>
      <w:tr>
        <w:tblPrEx>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cs="宋体"/>
                <w:b/>
                <w:bCs/>
                <w:color w:val="000000" w:themeColor="text1"/>
                <w:kern w:val="2"/>
                <w:sz w:val="22"/>
                <w:szCs w:val="22"/>
                <w:highlight w:val="none"/>
                <w:lang w:val="en-US" w:eastAsia="zh-CN" w:bidi="ar-SA"/>
                <w14:textFill>
                  <w14:solidFill>
                    <w14:schemeClr w14:val="tx1"/>
                  </w14:solidFill>
                </w14:textFill>
              </w:rPr>
              <w:t>2.13</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售后服务方案</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rPr>
                <w:rFonts w:hint="default" w:ascii="宋体" w:hAnsi="宋体" w:cs="宋体"/>
                <w:b/>
                <w:bCs/>
                <w:color w:val="000000" w:themeColor="text1"/>
                <w:kern w:val="0"/>
                <w:sz w:val="22"/>
                <w:szCs w:val="22"/>
                <w:highlight w:val="none"/>
                <w:lang w:val="en-US" w:eastAsia="zh-CN"/>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6</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autoSpaceDE w:val="0"/>
              <w:autoSpaceDN/>
              <w:adjustRightInd w:val="0"/>
              <w:snapToGrid w:val="0"/>
              <w:spacing w:before="0" w:beforeAutospacing="0" w:after="0" w:afterAutospacing="0" w:line="360" w:lineRule="auto"/>
              <w:ind w:left="0" w:leftChars="0" w:right="0" w:rightChars="0"/>
              <w:jc w:val="left"/>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投标人按照如下要求提供售后服务方案，包括以下内容：</w:t>
            </w:r>
          </w:p>
          <w:p>
            <w:pPr>
              <w:keepNext w:val="0"/>
              <w:keepLines w:val="0"/>
              <w:widowControl/>
              <w:numPr>
                <w:ilvl w:val="0"/>
                <w:numId w:val="0"/>
              </w:numPr>
              <w:suppressLineNumbers w:val="0"/>
              <w:autoSpaceDE w:val="0"/>
              <w:autoSpaceDN/>
              <w:adjustRightInd w:val="0"/>
              <w:snapToGrid w:val="0"/>
              <w:spacing w:before="0" w:beforeAutospacing="0" w:after="0" w:afterAutospacing="0" w:line="360" w:lineRule="auto"/>
              <w:ind w:left="0" w:leftChars="0" w:right="0" w:rightChars="0"/>
              <w:jc w:val="left"/>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1.售后服务人员、物资保障措施；</w:t>
            </w:r>
          </w:p>
          <w:p>
            <w:pPr>
              <w:keepNext w:val="0"/>
              <w:keepLines w:val="0"/>
              <w:widowControl/>
              <w:numPr>
                <w:ilvl w:val="0"/>
                <w:numId w:val="0"/>
              </w:numPr>
              <w:suppressLineNumbers w:val="0"/>
              <w:autoSpaceDE w:val="0"/>
              <w:autoSpaceDN/>
              <w:adjustRightInd w:val="0"/>
              <w:snapToGrid w:val="0"/>
              <w:spacing w:before="0" w:beforeAutospacing="0" w:after="0" w:afterAutospacing="0" w:line="360" w:lineRule="auto"/>
              <w:ind w:left="0" w:right="0" w:rightChars="0"/>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2.售后服务故障应急处理方案；</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lang w:val="en-US" w:eastAsia="zh-CN" w:bidi="ar"/>
                <w14:textFill>
                  <w14:solidFill>
                    <w14:schemeClr w14:val="tx1"/>
                  </w14:solidFill>
                </w14:textFill>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lang w:val="en-US" w:eastAsia="zh-CN" w:bidi="ar"/>
                <w14:textFill>
                  <w14:solidFill>
                    <w14:schemeClr w14:val="tx1"/>
                  </w14:solidFill>
                </w14:textFill>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lang w:val="en-US" w:eastAsia="zh-CN" w:bidi="ar"/>
                <w14:textFill>
                  <w14:solidFill>
                    <w14:schemeClr w14:val="tx1"/>
                  </w14:solidFill>
                </w14:textFill>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lang w:val="en-US" w:eastAsia="zh-CN" w:bidi="ar"/>
                <w14:textFill>
                  <w14:solidFill>
                    <w14:schemeClr w14:val="tx1"/>
                  </w14:solidFill>
                </w14:textFill>
              </w:rPr>
              <w:t>（3）针对性：方案必须契合本项目实际情况。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center"/>
              <w:rPr>
                <w:rFonts w:hint="eastAsia" w:ascii="宋体" w:hAnsi="宋体" w:eastAsia="宋体" w:cs="宋体"/>
                <w:bCs/>
                <w:iCs w:val="0"/>
                <w:color w:val="000000" w:themeColor="text1"/>
                <w:kern w:val="0"/>
                <w:sz w:val="21"/>
                <w:szCs w:val="21"/>
                <w14:textFill>
                  <w14:solidFill>
                    <w14:schemeClr w14:val="tx1"/>
                  </w14:solidFill>
                </w14:textFill>
              </w:rPr>
            </w:pPr>
            <w:r>
              <w:rPr>
                <w:rFonts w:hint="eastAsia" w:ascii="宋体" w:hAnsi="宋体" w:eastAsia="宋体" w:cs="宋体"/>
                <w:bCs/>
                <w:iCs w:val="0"/>
                <w:color w:val="000000" w:themeColor="text1"/>
                <w:kern w:val="0"/>
                <w:sz w:val="21"/>
                <w:szCs w:val="21"/>
                <w:lang w:val="en-US" w:eastAsia="zh-CN" w:bidi="ar"/>
                <w14:textFill>
                  <w14:solidFill>
                    <w14:schemeClr w14:val="tx1"/>
                  </w14:solidFill>
                </w14:textFill>
              </w:rPr>
              <w:t>对上述2项评审内容进行打分，每项评审内容完全满足（1）－（3）项评审标准的得3分，满足2项的得2分，满足1项的得1分，其他情况不得分。满分为6分。</w:t>
            </w:r>
          </w:p>
        </w:tc>
      </w:tr>
    </w:tbl>
    <w:p>
      <w:pPr>
        <w:spacing w:before="60" w:after="60" w:line="360" w:lineRule="exact"/>
        <w:rPr>
          <w:rFonts w:ascii="宋体" w:hAnsi="宋体" w:eastAsia="宋体" w:cs="Times New Roman"/>
          <w:b/>
          <w:bCs/>
          <w:color w:val="000000" w:themeColor="text1"/>
          <w:sz w:val="22"/>
          <w:szCs w:val="22"/>
          <w:highlight w:val="none"/>
          <w14:textFill>
            <w14:solidFill>
              <w14:schemeClr w14:val="tx1"/>
            </w14:solidFill>
          </w14:textFill>
        </w:rPr>
      </w:pPr>
      <w:r>
        <w:rPr>
          <w:rFonts w:hint="eastAsia" w:ascii="Helvetica" w:hAnsi="Helvetica" w:cs="Helvetica"/>
          <w:b/>
          <w:color w:val="000000" w:themeColor="text1"/>
          <w:kern w:val="0"/>
          <w:sz w:val="22"/>
          <w:szCs w:val="22"/>
          <w:highlight w:val="none"/>
          <w:lang w:val="zh-CN"/>
          <w14:textFill>
            <w14:solidFill>
              <w14:schemeClr w14:val="tx1"/>
            </w14:solidFill>
          </w14:textFill>
        </w:rPr>
        <w:t>说明：以上评分标准中涉及到的证明材料（如证书、证件、检测报告、彩页或截图等）须提供完整清晰的扫描件或复印件，否则不得分。</w:t>
      </w:r>
    </w:p>
    <w:p>
      <w:pPr>
        <w:bidi w:val="0"/>
        <w:rPr>
          <w:rFonts w:hint="eastAsia"/>
          <w:lang w:val="en-US" w:eastAsia="zh-CN"/>
        </w:rPr>
      </w:pPr>
    </w:p>
    <w:p>
      <w:pPr>
        <w:numPr>
          <w:ilvl w:val="0"/>
          <w:numId w:val="0"/>
        </w:numPr>
        <w:spacing w:before="60" w:after="60" w:line="360" w:lineRule="exact"/>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t>3、</w:t>
      </w:r>
      <w:r>
        <w:rPr>
          <w:rFonts w:hint="eastAsia" w:ascii="宋体" w:hAnsi="宋体" w:eastAsia="宋体" w:cs="Times New Roman"/>
          <w:b/>
          <w:bCs/>
          <w:color w:val="000000" w:themeColor="text1"/>
          <w:sz w:val="28"/>
          <w:szCs w:val="28"/>
          <w:highlight w:val="none"/>
          <w14:textFill>
            <w14:solidFill>
              <w14:schemeClr w14:val="tx1"/>
            </w14:solidFill>
          </w14:textFill>
        </w:rPr>
        <w:t>价格评议（</w:t>
      </w:r>
      <w:r>
        <w:rPr>
          <w:rFonts w:hint="eastAsia" w:ascii="宋体" w:hAnsi="宋体" w:eastAsia="宋体" w:cs="Times New Roman"/>
          <w:b/>
          <w:bCs/>
          <w:color w:val="000000" w:themeColor="text1"/>
          <w:sz w:val="28"/>
          <w:szCs w:val="28"/>
          <w:highlight w:val="none"/>
          <w:lang w:val="en-US" w:eastAsia="zh-CN"/>
          <w14:textFill>
            <w14:solidFill>
              <w14:schemeClr w14:val="tx1"/>
            </w14:solidFill>
          </w14:textFill>
        </w:rPr>
        <w:t>35</w:t>
      </w:r>
      <w:r>
        <w:rPr>
          <w:rFonts w:hint="eastAsia" w:ascii="宋体" w:hAnsi="宋体" w:eastAsia="宋体" w:cs="Times New Roman"/>
          <w:b/>
          <w:bCs/>
          <w:color w:val="000000" w:themeColor="text1"/>
          <w:sz w:val="28"/>
          <w:szCs w:val="28"/>
          <w:highlight w:val="none"/>
          <w14:textFill>
            <w14:solidFill>
              <w14:schemeClr w14:val="tx1"/>
            </w14:solidFill>
          </w14:textFill>
        </w:rPr>
        <w:t>分）</w:t>
      </w:r>
    </w:p>
    <w:tbl>
      <w:tblPr>
        <w:tblStyle w:val="8"/>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13"/>
        <w:gridCol w:w="712"/>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22" w:type="dxa"/>
            <w:shd w:val="clear" w:color="auto" w:fill="A4A4A4" w:themeFill="background1" w:themeFillShade="A5"/>
            <w:vAlign w:val="center"/>
          </w:tcPr>
          <w:p>
            <w:pPr>
              <w:keepNext w:val="0"/>
              <w:keepLines w:val="0"/>
              <w:suppressLineNumbers w:val="0"/>
              <w:spacing w:before="0" w:beforeAutospacing="0" w:after="0" w:afterAutospacing="0"/>
              <w:ind w:left="-78" w:leftChars="-37" w:right="-86" w:rightChars="-41"/>
              <w:jc w:val="center"/>
              <w:rPr>
                <w:rFonts w:hint="default" w:asciiTheme="minorEastAsia" w:hAnsiTheme="minorEastAsia"/>
                <w:b/>
                <w:bCs/>
                <w:color w:val="000000" w:themeColor="text1"/>
                <w:sz w:val="22"/>
                <w:szCs w:val="22"/>
                <w:highlight w:val="none"/>
                <w14:textFill>
                  <w14:solidFill>
                    <w14:schemeClr w14:val="tx1"/>
                  </w14:solidFill>
                </w14:textFill>
              </w:rPr>
            </w:pPr>
            <w:r>
              <w:rPr>
                <w:rFonts w:hint="eastAsia" w:asciiTheme="minorEastAsia" w:hAnsiTheme="minorEastAsia"/>
                <w:b/>
                <w:color w:val="000000" w:themeColor="text1"/>
                <w:sz w:val="22"/>
                <w:szCs w:val="22"/>
                <w:highlight w:val="none"/>
                <w14:textFill>
                  <w14:solidFill>
                    <w14:schemeClr w14:val="tx1"/>
                  </w14:solidFill>
                </w14:textFill>
              </w:rPr>
              <w:t>序号</w:t>
            </w:r>
          </w:p>
        </w:tc>
        <w:tc>
          <w:tcPr>
            <w:tcW w:w="1613" w:type="dxa"/>
            <w:shd w:val="clear" w:color="auto" w:fill="A4A4A4" w:themeFill="background1" w:themeFillShade="A5"/>
            <w:vAlign w:val="center"/>
          </w:tcPr>
          <w:p>
            <w:pPr>
              <w:keepNext w:val="0"/>
              <w:keepLines w:val="0"/>
              <w:suppressLineNumbers w:val="0"/>
              <w:spacing w:before="0" w:beforeAutospacing="0" w:after="0" w:afterAutospacing="0"/>
              <w:ind w:left="-78" w:leftChars="-37" w:right="-86" w:rightChars="-41"/>
              <w:jc w:val="center"/>
              <w:rPr>
                <w:rFonts w:hint="default" w:asciiTheme="minorEastAsia" w:hAnsiTheme="minorEastAsia"/>
                <w:b/>
                <w:bCs/>
                <w:color w:val="000000" w:themeColor="text1"/>
                <w:sz w:val="22"/>
                <w:szCs w:val="22"/>
                <w:highlight w:val="none"/>
                <w14:textFill>
                  <w14:solidFill>
                    <w14:schemeClr w14:val="tx1"/>
                  </w14:solidFill>
                </w14:textFill>
              </w:rPr>
            </w:pPr>
            <w:r>
              <w:rPr>
                <w:rFonts w:hint="eastAsia" w:asciiTheme="minorEastAsia" w:hAnsiTheme="minorEastAsia"/>
                <w:b/>
                <w:color w:val="000000" w:themeColor="text1"/>
                <w:sz w:val="22"/>
                <w:szCs w:val="22"/>
                <w:highlight w:val="none"/>
                <w14:textFill>
                  <w14:solidFill>
                    <w14:schemeClr w14:val="tx1"/>
                  </w14:solidFill>
                </w14:textFill>
              </w:rPr>
              <w:t>评审因素</w:t>
            </w:r>
          </w:p>
        </w:tc>
        <w:tc>
          <w:tcPr>
            <w:tcW w:w="712" w:type="dxa"/>
            <w:shd w:val="clear" w:color="auto" w:fill="A4A4A4" w:themeFill="background1" w:themeFillShade="A5"/>
            <w:vAlign w:val="center"/>
          </w:tcPr>
          <w:p>
            <w:pPr>
              <w:keepNext w:val="0"/>
              <w:keepLines w:val="0"/>
              <w:suppressLineNumbers w:val="0"/>
              <w:spacing w:before="0" w:beforeAutospacing="0" w:after="0" w:afterAutospacing="0"/>
              <w:ind w:left="-73" w:leftChars="-35" w:right="-80" w:rightChars="-38"/>
              <w:jc w:val="center"/>
              <w:rPr>
                <w:rFonts w:hint="default" w:asciiTheme="minorEastAsia" w:hAnsiTheme="minorEastAsia"/>
                <w:b/>
                <w:bCs/>
                <w:color w:val="000000" w:themeColor="text1"/>
                <w:kern w:val="0"/>
                <w:sz w:val="22"/>
                <w:szCs w:val="22"/>
                <w:highlight w:val="none"/>
                <w14:textFill>
                  <w14:solidFill>
                    <w14:schemeClr w14:val="tx1"/>
                  </w14:solidFill>
                </w14:textFill>
              </w:rPr>
            </w:pPr>
            <w:r>
              <w:rPr>
                <w:rFonts w:hint="default" w:cs="Courier New" w:asciiTheme="minorEastAsia" w:hAnsiTheme="minorEastAsia"/>
                <w:b/>
                <w:bCs/>
                <w:color w:val="000000" w:themeColor="text1"/>
                <w:sz w:val="22"/>
                <w:szCs w:val="22"/>
                <w:highlight w:val="none"/>
                <w14:textFill>
                  <w14:solidFill>
                    <w14:schemeClr w14:val="tx1"/>
                  </w14:solidFill>
                </w14:textFill>
              </w:rPr>
              <w:t>分值</w:t>
            </w:r>
          </w:p>
        </w:tc>
        <w:tc>
          <w:tcPr>
            <w:tcW w:w="7190" w:type="dxa"/>
            <w:shd w:val="clear" w:color="auto" w:fill="A4A4A4" w:themeFill="background1" w:themeFillShade="A5"/>
            <w:vAlign w:val="center"/>
          </w:tcPr>
          <w:p>
            <w:pPr>
              <w:keepNext w:val="0"/>
              <w:keepLines w:val="0"/>
              <w:suppressLineNumbers w:val="0"/>
              <w:spacing w:before="0" w:beforeAutospacing="0" w:after="0" w:afterAutospacing="0" w:line="240" w:lineRule="atLeast"/>
              <w:ind w:left="0" w:right="0"/>
              <w:jc w:val="center"/>
              <w:rPr>
                <w:rFonts w:hint="default" w:asciiTheme="minorEastAsia" w:hAnsiTheme="minorEastAsia"/>
                <w:color w:val="000000" w:themeColor="text1"/>
                <w:sz w:val="22"/>
                <w:szCs w:val="22"/>
                <w:highlight w:val="none"/>
                <w14:textFill>
                  <w14:solidFill>
                    <w14:schemeClr w14:val="tx1"/>
                  </w14:solidFill>
                </w14:textFill>
              </w:rPr>
            </w:pPr>
            <w:r>
              <w:rPr>
                <w:rFonts w:hint="eastAsia" w:cs="Courier New" w:asciiTheme="minorEastAsia" w:hAnsiTheme="minorEastAsia"/>
                <w:b/>
                <w:bCs/>
                <w:color w:val="000000" w:themeColor="text1"/>
                <w:sz w:val="22"/>
                <w:szCs w:val="22"/>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722" w:type="dxa"/>
            <w:vAlign w:val="center"/>
          </w:tcPr>
          <w:p>
            <w:pPr>
              <w:keepNext w:val="0"/>
              <w:keepLines w:val="0"/>
              <w:suppressLineNumbers w:val="0"/>
              <w:spacing w:before="0" w:beforeAutospacing="0" w:after="0" w:afterAutospacing="0" w:line="320" w:lineRule="exact"/>
              <w:ind w:left="0" w:right="-42" w:rightChars="-20"/>
              <w:jc w:val="center"/>
              <w:rPr>
                <w:rFonts w:hint="default" w:asciiTheme="minorEastAsia" w:hAnsiTheme="minorEastAsia"/>
                <w:b/>
                <w:bCs/>
                <w:color w:val="000000" w:themeColor="text1"/>
                <w:sz w:val="22"/>
                <w:szCs w:val="22"/>
                <w:highlight w:val="none"/>
                <w14:textFill>
                  <w14:solidFill>
                    <w14:schemeClr w14:val="tx1"/>
                  </w14:solidFill>
                </w14:textFill>
              </w:rPr>
            </w:pPr>
            <w:r>
              <w:rPr>
                <w:rFonts w:hint="eastAsia" w:asciiTheme="minorEastAsia" w:hAnsiTheme="minorEastAsia"/>
                <w:b/>
                <w:bCs/>
                <w:color w:val="000000" w:themeColor="text1"/>
                <w:sz w:val="22"/>
                <w:szCs w:val="22"/>
                <w:highlight w:val="none"/>
                <w14:textFill>
                  <w14:solidFill>
                    <w14:schemeClr w14:val="tx1"/>
                  </w14:solidFill>
                </w14:textFill>
              </w:rPr>
              <w:t>3.1</w:t>
            </w:r>
          </w:p>
        </w:tc>
        <w:tc>
          <w:tcPr>
            <w:tcW w:w="1613" w:type="dxa"/>
            <w:vAlign w:val="center"/>
          </w:tcPr>
          <w:p>
            <w:pPr>
              <w:keepNext w:val="0"/>
              <w:keepLines w:val="0"/>
              <w:suppressLineNumbers w:val="0"/>
              <w:spacing w:before="0" w:beforeAutospacing="0" w:after="0" w:afterAutospacing="0"/>
              <w:ind w:left="-78" w:leftChars="-37" w:right="-86" w:rightChars="-41"/>
              <w:jc w:val="center"/>
              <w:rPr>
                <w:rFonts w:hint="default" w:asciiTheme="minorEastAsia" w:hAnsiTheme="minorEastAsia"/>
                <w:b/>
                <w:bCs/>
                <w:color w:val="000000" w:themeColor="text1"/>
                <w:sz w:val="22"/>
                <w:szCs w:val="22"/>
                <w:highlight w:val="none"/>
                <w14:textFill>
                  <w14:solidFill>
                    <w14:schemeClr w14:val="tx1"/>
                  </w14:solidFill>
                </w14:textFill>
              </w:rPr>
            </w:pPr>
            <w:r>
              <w:rPr>
                <w:rFonts w:hint="eastAsia" w:asciiTheme="minorEastAsia" w:hAnsiTheme="minorEastAsia"/>
                <w:b/>
                <w:bCs/>
                <w:color w:val="000000" w:themeColor="text1"/>
                <w:sz w:val="22"/>
                <w:szCs w:val="22"/>
                <w:highlight w:val="none"/>
                <w14:textFill>
                  <w14:solidFill>
                    <w14:schemeClr w14:val="tx1"/>
                  </w14:solidFill>
                </w14:textFill>
              </w:rPr>
              <w:t>价格评议</w:t>
            </w:r>
          </w:p>
        </w:tc>
        <w:tc>
          <w:tcPr>
            <w:tcW w:w="712" w:type="dxa"/>
            <w:vAlign w:val="center"/>
          </w:tcPr>
          <w:p>
            <w:pPr>
              <w:keepNext w:val="0"/>
              <w:keepLines w:val="0"/>
              <w:suppressLineNumbers w:val="0"/>
              <w:spacing w:before="0" w:beforeAutospacing="0" w:after="0" w:afterAutospacing="0" w:line="320" w:lineRule="exact"/>
              <w:ind w:left="0" w:right="0"/>
              <w:jc w:val="center"/>
              <w:rPr>
                <w:rFonts w:hint="eastAsia" w:eastAsia="宋体" w:asciiTheme="minorEastAsia" w:hAnsiTheme="minorEastAsia"/>
                <w:color w:val="000000" w:themeColor="text1"/>
                <w:kern w:val="0"/>
                <w:sz w:val="22"/>
                <w:szCs w:val="22"/>
                <w:highlight w:val="none"/>
                <w:lang w:eastAsia="zh-CN"/>
                <w14:textFill>
                  <w14:solidFill>
                    <w14:schemeClr w14:val="tx1"/>
                  </w14:solidFill>
                </w14:textFill>
              </w:rPr>
            </w:pPr>
            <w:r>
              <w:rPr>
                <w:rFonts w:hint="eastAsia" w:asciiTheme="minorEastAsia" w:hAnsiTheme="minorEastAsia"/>
                <w:b/>
                <w:bCs/>
                <w:color w:val="000000" w:themeColor="text1"/>
                <w:kern w:val="0"/>
                <w:sz w:val="22"/>
                <w:szCs w:val="22"/>
                <w:highlight w:val="none"/>
                <w14:textFill>
                  <w14:solidFill>
                    <w14:schemeClr w14:val="tx1"/>
                  </w14:solidFill>
                </w14:textFill>
              </w:rPr>
              <w:t>3</w:t>
            </w:r>
            <w:r>
              <w:rPr>
                <w:rFonts w:hint="eastAsia" w:asciiTheme="minorEastAsia" w:hAnsiTheme="minorEastAsia"/>
                <w:b/>
                <w:bCs/>
                <w:color w:val="000000" w:themeColor="text1"/>
                <w:kern w:val="0"/>
                <w:sz w:val="22"/>
                <w:szCs w:val="22"/>
                <w:highlight w:val="none"/>
                <w:lang w:val="en-US" w:eastAsia="zh-CN"/>
                <w14:textFill>
                  <w14:solidFill>
                    <w14:schemeClr w14:val="tx1"/>
                  </w14:solidFill>
                </w14:textFill>
              </w:rPr>
              <w:t>5</w:t>
            </w:r>
          </w:p>
        </w:tc>
        <w:tc>
          <w:tcPr>
            <w:tcW w:w="7190" w:type="dxa"/>
            <w:vAlign w:val="center"/>
          </w:tcPr>
          <w:p>
            <w:pPr>
              <w:keepNext w:val="0"/>
              <w:keepLines w:val="0"/>
              <w:suppressLineNumbers w:val="0"/>
              <w:adjustRightInd w:val="0"/>
              <w:snapToGrid w:val="0"/>
              <w:spacing w:before="0" w:beforeAutospacing="0" w:after="0" w:afterAutospacing="0" w:line="320" w:lineRule="exact"/>
              <w:ind w:left="0" w:right="0"/>
              <w:rPr>
                <w:rFonts w:hint="default" w:asciiTheme="minorEastAsia" w:hAnsiTheme="minorEastAsia"/>
                <w:color w:val="000000" w:themeColor="text1"/>
                <w:sz w:val="22"/>
                <w:szCs w:val="22"/>
                <w:highlight w:val="none"/>
                <w14:textFill>
                  <w14:solidFill>
                    <w14:schemeClr w14:val="tx1"/>
                  </w14:solidFill>
                </w14:textFill>
              </w:rPr>
            </w:pPr>
            <w:r>
              <w:rPr>
                <w:rFonts w:hint="eastAsia" w:asciiTheme="minorEastAsia" w:hAnsiTheme="minorEastAsia"/>
                <w:color w:val="000000" w:themeColor="text1"/>
                <w:sz w:val="22"/>
                <w:szCs w:val="22"/>
                <w:highlight w:val="none"/>
                <w14:textFill>
                  <w14:solidFill>
                    <w14:schemeClr w14:val="tx1"/>
                  </w14:solidFill>
                </w14:textFill>
              </w:rPr>
              <w:t>评标委员会只对符合性审查合格的投标文件进行价格评议，报价分采用低价优先法计算，即满足招标文件要求且投标价格</w:t>
            </w:r>
            <w:r>
              <w:rPr>
                <w:rFonts w:hint="eastAsia" w:asciiTheme="minorEastAsia" w:hAnsiTheme="minorEastAsia"/>
                <w:b/>
                <w:color w:val="000000" w:themeColor="text1"/>
                <w:sz w:val="22"/>
                <w:szCs w:val="22"/>
                <w:highlight w:val="none"/>
                <w14:textFill>
                  <w14:solidFill>
                    <w14:schemeClr w14:val="tx1"/>
                  </w14:solidFill>
                </w14:textFill>
              </w:rPr>
              <w:t>（落实政府采购政策进行价格调整的，以调整后的价格计算）</w:t>
            </w:r>
            <w:r>
              <w:rPr>
                <w:rFonts w:hint="eastAsia" w:asciiTheme="minorEastAsia" w:hAnsiTheme="minorEastAsia"/>
                <w:color w:val="000000" w:themeColor="text1"/>
                <w:sz w:val="22"/>
                <w:szCs w:val="22"/>
                <w:highlight w:val="none"/>
                <w14:textFill>
                  <w14:solidFill>
                    <w14:schemeClr w14:val="tx1"/>
                  </w14:solidFill>
                </w14:textFill>
              </w:rPr>
              <w:t>最低的投标报价为评标基准价，其价格分为满分。其他投标人的价格分按照下列公式计算：报价得分=(评标基准价／投标报价)×3</w:t>
            </w:r>
            <w:r>
              <w:rPr>
                <w:rFonts w:hint="eastAsia" w:asciiTheme="minorEastAsia" w:hAnsiTheme="minorEastAsia"/>
                <w:color w:val="000000" w:themeColor="text1"/>
                <w:sz w:val="22"/>
                <w:szCs w:val="22"/>
                <w:highlight w:val="none"/>
                <w:lang w:val="en-US" w:eastAsia="zh-CN"/>
                <w14:textFill>
                  <w14:solidFill>
                    <w14:schemeClr w14:val="tx1"/>
                  </w14:solidFill>
                </w14:textFill>
              </w:rPr>
              <w:t>5</w:t>
            </w:r>
            <w:r>
              <w:rPr>
                <w:rFonts w:hint="eastAsia" w:asciiTheme="minorEastAsia" w:hAnsiTheme="minorEastAsia"/>
                <w:color w:val="000000" w:themeColor="text1"/>
                <w:sz w:val="22"/>
                <w:szCs w:val="22"/>
                <w:highlight w:val="none"/>
                <w14:textFill>
                  <w14:solidFill>
                    <w14:schemeClr w14:val="tx1"/>
                  </w14:solidFill>
                </w14:textFill>
              </w:rPr>
              <w:t>分</w:t>
            </w:r>
          </w:p>
        </w:tc>
      </w:tr>
    </w:tbl>
    <w:p>
      <w:pPr>
        <w:rPr>
          <w:color w:val="000000" w:themeColor="text1"/>
          <w:sz w:val="22"/>
          <w:szCs w:val="2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10"/>
        <w:widowControl/>
        <w:spacing w:line="520" w:lineRule="exact"/>
        <w:ind w:left="0" w:firstLine="562"/>
        <w:jc w:val="left"/>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 </w:t>
      </w:r>
    </w:p>
    <w:p>
      <w:pPr>
        <w:pStyle w:val="10"/>
        <w:widowControl/>
        <w:spacing w:line="520" w:lineRule="exact"/>
        <w:ind w:left="0" w:firstLine="562"/>
        <w:jc w:val="left"/>
        <w:rPr>
          <w:rFonts w:hint="eastAsia" w:ascii="宋体" w:hAnsi="宋体" w:eastAsia="宋体" w:cs="宋体"/>
          <w:b/>
          <w:bCs/>
          <w:kern w:val="2"/>
          <w:sz w:val="28"/>
          <w:szCs w:val="28"/>
        </w:rPr>
      </w:pPr>
      <w:r>
        <w:rPr>
          <w:rFonts w:hint="eastAsia" w:ascii="宋体" w:hAnsi="宋体" w:cs="宋体"/>
          <w:b/>
          <w:bCs/>
          <w:kern w:val="2"/>
          <w:sz w:val="28"/>
          <w:szCs w:val="28"/>
          <w:lang w:eastAsia="zh-CN"/>
        </w:rPr>
        <w:t>（</w:t>
      </w:r>
      <w:r>
        <w:rPr>
          <w:rFonts w:hint="eastAsia" w:ascii="宋体" w:hAnsi="宋体" w:cs="宋体"/>
          <w:b/>
          <w:bCs/>
          <w:kern w:val="2"/>
          <w:sz w:val="28"/>
          <w:szCs w:val="28"/>
          <w:lang w:val="en-US" w:eastAsia="zh-CN"/>
        </w:rPr>
        <w:t>4</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 xml:space="preserve"> 更正日期：202</w:t>
      </w:r>
      <w:r>
        <w:rPr>
          <w:rFonts w:hint="eastAsia" w:ascii="宋体" w:hAnsi="宋体" w:cs="宋体"/>
          <w:b/>
          <w:bCs/>
          <w:kern w:val="2"/>
          <w:sz w:val="28"/>
          <w:szCs w:val="28"/>
          <w:lang w:val="en-US" w:eastAsia="zh-CN"/>
        </w:rPr>
        <w:t>6</w:t>
      </w:r>
      <w:r>
        <w:rPr>
          <w:rFonts w:hint="eastAsia" w:ascii="宋体" w:hAnsi="宋体" w:eastAsia="宋体" w:cs="宋体"/>
          <w:b/>
          <w:bCs/>
          <w:kern w:val="2"/>
          <w:sz w:val="28"/>
          <w:szCs w:val="28"/>
        </w:rPr>
        <w:t>年</w:t>
      </w:r>
      <w:r>
        <w:rPr>
          <w:rFonts w:hint="eastAsia" w:ascii="宋体" w:hAnsi="宋体" w:cs="宋体"/>
          <w:b/>
          <w:bCs/>
          <w:kern w:val="2"/>
          <w:sz w:val="28"/>
          <w:szCs w:val="28"/>
          <w:lang w:val="en-US" w:eastAsia="zh-CN"/>
        </w:rPr>
        <w:t>4</w:t>
      </w:r>
      <w:r>
        <w:rPr>
          <w:rFonts w:hint="eastAsia" w:ascii="宋体" w:hAnsi="宋体" w:eastAsia="宋体" w:cs="宋体"/>
          <w:b/>
          <w:bCs/>
          <w:kern w:val="2"/>
          <w:sz w:val="28"/>
          <w:szCs w:val="28"/>
        </w:rPr>
        <w:t>月</w:t>
      </w:r>
      <w:r>
        <w:rPr>
          <w:rFonts w:hint="eastAsia" w:ascii="宋体" w:hAnsi="宋体" w:cs="宋体"/>
          <w:b/>
          <w:bCs/>
          <w:kern w:val="2"/>
          <w:sz w:val="28"/>
          <w:szCs w:val="28"/>
          <w:lang w:val="en-US" w:eastAsia="zh-CN"/>
        </w:rPr>
        <w:t>24</w:t>
      </w:r>
      <w:r>
        <w:rPr>
          <w:rFonts w:hint="eastAsia" w:ascii="宋体" w:hAnsi="宋体" w:eastAsia="宋体" w:cs="宋体"/>
          <w:b/>
          <w:bCs/>
          <w:kern w:val="2"/>
          <w:sz w:val="28"/>
          <w:szCs w:val="28"/>
        </w:rPr>
        <w:t>日</w:t>
      </w:r>
    </w:p>
    <w:p>
      <w:pPr>
        <w:pStyle w:val="7"/>
        <w:keepNext w:val="0"/>
        <w:keepLines w:val="0"/>
        <w:widowControl/>
        <w:suppressLineNumbers w:val="0"/>
        <w:shd w:val="clear" w:fill="FFFFFF"/>
        <w:spacing w:before="0" w:beforeAutospacing="1" w:after="0" w:afterAutospacing="1" w:line="360" w:lineRule="auto"/>
        <w:ind w:left="0" w:right="0"/>
        <w:jc w:val="left"/>
        <w:rPr>
          <w:rFonts w:hint="eastAsia" w:ascii="宋体" w:hAnsi="宋体" w:eastAsia="宋体" w:cs="宋体"/>
          <w:b/>
          <w:bCs/>
          <w:kern w:val="0"/>
          <w:sz w:val="32"/>
          <w:szCs w:val="32"/>
          <w:shd w:val="clear" w:fill="FFFFFF"/>
        </w:rPr>
      </w:pPr>
      <w:r>
        <w:rPr>
          <w:rFonts w:hint="eastAsia" w:ascii="宋体" w:hAnsi="宋体" w:eastAsia="宋体" w:cs="宋体"/>
          <w:b/>
          <w:bCs/>
          <w:kern w:val="0"/>
          <w:sz w:val="32"/>
          <w:szCs w:val="32"/>
          <w:shd w:val="clear" w:fill="FFFFFF"/>
          <w:lang w:val="en-US" w:eastAsia="zh-CN" w:bidi="ar"/>
        </w:rPr>
        <w:t>三、其他补充事宜</w:t>
      </w:r>
    </w:p>
    <w:p>
      <w:pPr>
        <w:pStyle w:val="7"/>
        <w:keepNext w:val="0"/>
        <w:keepLines w:val="0"/>
        <w:widowControl/>
        <w:suppressLineNumbers w:val="0"/>
        <w:shd w:val="clear" w:fill="FFFFFF"/>
        <w:spacing w:before="0" w:beforeAutospacing="1" w:after="0" w:afterAutospacing="1"/>
        <w:ind w:left="0" w:right="0"/>
        <w:jc w:val="both"/>
        <w:rPr>
          <w:rFonts w:hint="eastAsia" w:ascii="宋体" w:hAnsi="宋体" w:eastAsia="宋体" w:cs="宋体"/>
          <w:bCs/>
          <w:color w:val="000000"/>
          <w:kern w:val="0"/>
          <w:sz w:val="28"/>
          <w:szCs w:val="28"/>
          <w:shd w:val="clear" w:fill="FFFFFF"/>
        </w:rPr>
      </w:pPr>
      <w:r>
        <w:rPr>
          <w:rFonts w:hint="eastAsia" w:ascii="宋体" w:hAnsi="宋体" w:eastAsia="宋体" w:cs="宋体"/>
          <w:bCs/>
          <w:color w:val="000000"/>
          <w:kern w:val="0"/>
          <w:sz w:val="28"/>
          <w:szCs w:val="28"/>
          <w:shd w:val="clear" w:fill="FFFFFF"/>
          <w:lang w:val="en-US" w:eastAsia="zh-CN" w:bidi="ar"/>
        </w:rPr>
        <w:t xml:space="preserve">   </w:t>
      </w:r>
      <w:r>
        <w:rPr>
          <w:rFonts w:hint="default" w:ascii="宋体" w:hAnsi="宋体" w:eastAsia="宋体" w:cs="宋体"/>
          <w:bCs/>
          <w:color w:val="000000"/>
          <w:kern w:val="0"/>
          <w:sz w:val="28"/>
          <w:szCs w:val="28"/>
          <w:shd w:val="clear" w:fill="FFFFFF"/>
          <w:lang w:val="en-US" w:eastAsia="zh-CN" w:bidi="ar"/>
        </w:rPr>
        <w:t>本项目招标文件下载时间顺延至2026年</w:t>
      </w:r>
      <w:r>
        <w:rPr>
          <w:rFonts w:hint="eastAsia" w:ascii="宋体" w:hAnsi="宋体" w:eastAsia="宋体" w:cs="宋体"/>
          <w:bCs/>
          <w:color w:val="000000"/>
          <w:kern w:val="0"/>
          <w:sz w:val="28"/>
          <w:szCs w:val="28"/>
          <w:shd w:val="clear" w:fill="FFFFFF"/>
          <w:lang w:val="en-US" w:eastAsia="zh-CN" w:bidi="ar"/>
        </w:rPr>
        <w:t>5</w:t>
      </w:r>
      <w:r>
        <w:rPr>
          <w:rFonts w:hint="default" w:ascii="宋体" w:hAnsi="宋体" w:eastAsia="宋体" w:cs="宋体"/>
          <w:bCs/>
          <w:color w:val="000000"/>
          <w:kern w:val="0"/>
          <w:sz w:val="28"/>
          <w:szCs w:val="28"/>
          <w:shd w:val="clear" w:fill="FFFFFF"/>
          <w:lang w:val="en-US" w:eastAsia="zh-CN" w:bidi="ar"/>
        </w:rPr>
        <w:t>月</w:t>
      </w:r>
      <w:r>
        <w:rPr>
          <w:rFonts w:hint="eastAsia" w:ascii="宋体" w:hAnsi="宋体" w:cs="宋体"/>
          <w:bCs/>
          <w:color w:val="000000"/>
          <w:kern w:val="0"/>
          <w:sz w:val="28"/>
          <w:szCs w:val="28"/>
          <w:shd w:val="clear" w:fill="FFFFFF"/>
          <w:lang w:val="en-US" w:eastAsia="zh-CN" w:bidi="ar"/>
        </w:rPr>
        <w:t>7</w:t>
      </w:r>
      <w:r>
        <w:rPr>
          <w:rFonts w:hint="default" w:ascii="宋体" w:hAnsi="宋体" w:eastAsia="宋体" w:cs="宋体"/>
          <w:bCs/>
          <w:color w:val="000000"/>
          <w:kern w:val="0"/>
          <w:sz w:val="28"/>
          <w:szCs w:val="28"/>
          <w:shd w:val="clear" w:fill="FFFFFF"/>
          <w:lang w:val="en-US" w:eastAsia="zh-CN" w:bidi="ar"/>
        </w:rPr>
        <w:t>日23：59时，投标文件递交截止时间延至2026年</w:t>
      </w:r>
      <w:r>
        <w:rPr>
          <w:rFonts w:hint="eastAsia" w:ascii="宋体" w:hAnsi="宋体" w:eastAsia="宋体" w:cs="宋体"/>
          <w:bCs/>
          <w:color w:val="000000"/>
          <w:kern w:val="0"/>
          <w:sz w:val="28"/>
          <w:szCs w:val="28"/>
          <w:shd w:val="clear" w:fill="FFFFFF"/>
          <w:lang w:val="en-US" w:eastAsia="zh-CN" w:bidi="ar"/>
        </w:rPr>
        <w:t>5</w:t>
      </w:r>
      <w:r>
        <w:rPr>
          <w:rFonts w:hint="default" w:ascii="宋体" w:hAnsi="宋体" w:eastAsia="宋体" w:cs="宋体"/>
          <w:bCs/>
          <w:color w:val="000000"/>
          <w:kern w:val="0"/>
          <w:sz w:val="28"/>
          <w:szCs w:val="28"/>
          <w:shd w:val="clear" w:fill="FFFFFF"/>
          <w:lang w:val="en-US" w:eastAsia="zh-CN" w:bidi="ar"/>
        </w:rPr>
        <w:t>月</w:t>
      </w:r>
      <w:r>
        <w:rPr>
          <w:rFonts w:hint="eastAsia" w:ascii="宋体" w:hAnsi="宋体" w:cs="宋体"/>
          <w:bCs/>
          <w:color w:val="000000"/>
          <w:kern w:val="0"/>
          <w:sz w:val="28"/>
          <w:szCs w:val="28"/>
          <w:shd w:val="clear" w:fill="FFFFFF"/>
          <w:lang w:val="en-US" w:eastAsia="zh-CN" w:bidi="ar"/>
        </w:rPr>
        <w:t>11</w:t>
      </w:r>
      <w:r>
        <w:rPr>
          <w:rFonts w:hint="default" w:ascii="宋体" w:hAnsi="宋体" w:eastAsia="宋体" w:cs="宋体"/>
          <w:bCs/>
          <w:color w:val="000000"/>
          <w:kern w:val="0"/>
          <w:sz w:val="28"/>
          <w:szCs w:val="28"/>
          <w:shd w:val="clear" w:fill="FFFFFF"/>
          <w:lang w:val="en-US" w:eastAsia="zh-CN" w:bidi="ar"/>
        </w:rPr>
        <w:t>日</w:t>
      </w:r>
      <w:r>
        <w:rPr>
          <w:rFonts w:hint="eastAsia" w:ascii="宋体" w:hAnsi="宋体" w:cs="宋体"/>
          <w:bCs/>
          <w:color w:val="000000"/>
          <w:kern w:val="0"/>
          <w:sz w:val="28"/>
          <w:szCs w:val="28"/>
          <w:shd w:val="clear" w:fill="FFFFFF"/>
          <w:lang w:val="en-US" w:eastAsia="zh-CN" w:bidi="ar"/>
        </w:rPr>
        <w:t>10</w:t>
      </w:r>
      <w:bookmarkStart w:id="0" w:name="_GoBack"/>
      <w:bookmarkEnd w:id="0"/>
      <w:r>
        <w:rPr>
          <w:rFonts w:hint="default" w:ascii="宋体" w:hAnsi="宋体" w:eastAsia="宋体" w:cs="宋体"/>
          <w:bCs/>
          <w:color w:val="000000"/>
          <w:kern w:val="0"/>
          <w:sz w:val="28"/>
          <w:szCs w:val="28"/>
          <w:shd w:val="clear" w:fill="FFFFFF"/>
          <w:lang w:val="en-US" w:eastAsia="zh-CN" w:bidi="ar"/>
        </w:rPr>
        <w:t>：00</w:t>
      </w:r>
      <w:r>
        <w:rPr>
          <w:rFonts w:hint="eastAsia" w:ascii="宋体" w:hAnsi="宋体" w:eastAsia="宋体" w:cs="宋体"/>
          <w:bCs/>
          <w:color w:val="000000"/>
          <w:kern w:val="0"/>
          <w:sz w:val="28"/>
          <w:szCs w:val="28"/>
          <w:shd w:val="clear" w:fill="FFFFFF"/>
          <w:lang w:val="en-US" w:eastAsia="zh-CN" w:bidi="ar"/>
        </w:rPr>
        <w:t>。本公告作为本项目采购文件的组成部分。</w:t>
      </w:r>
    </w:p>
    <w:p>
      <w:pPr>
        <w:keepNext w:val="0"/>
        <w:keepLines w:val="0"/>
        <w:widowControl/>
        <w:suppressLineNumbers w:val="0"/>
        <w:shd w:val="clear" w:fill="FFFFFF"/>
        <w:spacing w:before="0" w:beforeAutospacing="0" w:after="0" w:afterAutospacing="0"/>
        <w:ind w:left="0" w:right="0"/>
        <w:jc w:val="left"/>
        <w:outlineLvl w:val="1"/>
        <w:rPr>
          <w:rFonts w:hint="eastAsia" w:ascii="宋体" w:hAnsi="宋体" w:eastAsia="宋体" w:cs="宋体"/>
          <w:b/>
          <w:bCs/>
          <w:color w:val="000000"/>
          <w:kern w:val="0"/>
          <w:sz w:val="32"/>
          <w:szCs w:val="32"/>
          <w:shd w:val="clear" w:fill="FFFFFF"/>
        </w:rPr>
      </w:pPr>
      <w:r>
        <w:rPr>
          <w:rFonts w:hint="eastAsia" w:ascii="宋体" w:hAnsi="宋体" w:eastAsia="宋体" w:cs="宋体"/>
          <w:b/>
          <w:bCs w:val="0"/>
          <w:color w:val="000000"/>
          <w:kern w:val="0"/>
          <w:sz w:val="32"/>
          <w:szCs w:val="32"/>
          <w:shd w:val="clear" w:fill="FFFFFF"/>
          <w:lang w:val="en-US" w:eastAsia="zh-CN" w:bidi="ar"/>
        </w:rPr>
        <w:t>四、凡对本次公告内容提出询问，请按以下方式联系</w:t>
      </w:r>
    </w:p>
    <w:p>
      <w:pPr>
        <w:keepNext w:val="0"/>
        <w:keepLines w:val="0"/>
        <w:widowControl/>
        <w:suppressLineNumbers w:val="0"/>
        <w:shd w:val="clear" w:fill="FFFFFF"/>
        <w:spacing w:before="0" w:beforeAutospacing="0" w:after="0" w:afterAutospacing="0"/>
        <w:ind w:left="0" w:right="0" w:firstLine="555"/>
        <w:jc w:val="left"/>
        <w:outlineLvl w:val="1"/>
        <w:rPr>
          <w:rFonts w:hint="eastAsia" w:ascii="宋体" w:hAnsi="宋体" w:eastAsia="宋体" w:cs="宋体"/>
          <w:b/>
          <w:bCs/>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 xml:space="preserve"> 1.采购人信息</w:t>
      </w:r>
    </w:p>
    <w:p>
      <w:pPr>
        <w:keepNext w:val="0"/>
        <w:keepLines w:val="0"/>
        <w:widowControl/>
        <w:suppressLineNumbers w:val="0"/>
        <w:shd w:val="clear" w:fill="FFFFFF"/>
        <w:spacing w:before="0" w:beforeAutospacing="0" w:after="0" w:afterAutospacing="0"/>
        <w:ind w:left="0" w:right="0" w:firstLine="555"/>
        <w:jc w:val="left"/>
        <w:rPr>
          <w:rFonts w:hint="eastAsia" w:ascii="宋体" w:hAnsi="宋体" w:eastAsia="宋体" w:cs="宋体"/>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 xml:space="preserve"> 名    称：大冶市政府采购中心  </w:t>
      </w:r>
    </w:p>
    <w:p>
      <w:pPr>
        <w:keepNext w:val="0"/>
        <w:keepLines w:val="0"/>
        <w:widowControl/>
        <w:suppressLineNumbers w:val="0"/>
        <w:shd w:val="clear" w:fill="FFFFFF"/>
        <w:spacing w:before="0" w:beforeAutospacing="0" w:after="0" w:afterAutospacing="0"/>
        <w:ind w:left="0" w:right="0" w:firstLine="555"/>
        <w:jc w:val="left"/>
        <w:rPr>
          <w:rFonts w:hint="eastAsia" w:ascii="宋体" w:hAnsi="宋体" w:eastAsia="宋体" w:cs="宋体"/>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 xml:space="preserve"> 地    址：大冶市大棋西路2号 </w:t>
      </w:r>
    </w:p>
    <w:p>
      <w:pPr>
        <w:keepNext w:val="0"/>
        <w:keepLines w:val="0"/>
        <w:widowControl/>
        <w:suppressLineNumbers w:val="0"/>
        <w:shd w:val="clear" w:fill="FFFFFF"/>
        <w:spacing w:before="0" w:beforeAutospacing="0" w:after="0" w:afterAutospacing="0"/>
        <w:ind w:left="0" w:right="0" w:firstLine="555"/>
        <w:jc w:val="left"/>
        <w:rPr>
          <w:rFonts w:hint="eastAsia" w:ascii="宋体" w:hAnsi="宋体" w:eastAsia="宋体" w:cs="宋体"/>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 xml:space="preserve"> 联系方式：13872077150</w:t>
      </w:r>
    </w:p>
    <w:p>
      <w:pPr>
        <w:keepNext w:val="0"/>
        <w:keepLines w:val="0"/>
        <w:widowControl/>
        <w:suppressLineNumbers w:val="0"/>
        <w:shd w:val="clear" w:fill="FFFFFF"/>
        <w:spacing w:before="0" w:beforeAutospacing="0" w:after="0" w:afterAutospacing="0"/>
        <w:ind w:left="0" w:right="0" w:firstLine="555"/>
        <w:jc w:val="left"/>
        <w:outlineLvl w:val="1"/>
        <w:rPr>
          <w:rFonts w:hint="eastAsia" w:ascii="宋体" w:hAnsi="宋体" w:eastAsia="宋体" w:cs="宋体"/>
          <w:b/>
          <w:bCs/>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 xml:space="preserve"> 2.采购代理机构信息（如有）</w:t>
      </w:r>
    </w:p>
    <w:p>
      <w:pPr>
        <w:keepNext w:val="0"/>
        <w:keepLines w:val="0"/>
        <w:widowControl/>
        <w:suppressLineNumbers w:val="0"/>
        <w:shd w:val="clear" w:fill="FFFFFF"/>
        <w:spacing w:before="0" w:beforeAutospacing="0" w:after="0" w:afterAutospacing="0"/>
        <w:ind w:right="0" w:firstLine="840" w:firstLineChars="300"/>
        <w:jc w:val="left"/>
        <w:rPr>
          <w:rFonts w:hint="eastAsia" w:ascii="宋体" w:hAnsi="宋体" w:eastAsia="宋体" w:cs="宋体"/>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名   称：大冶市政府采购中心</w:t>
      </w:r>
    </w:p>
    <w:p>
      <w:pPr>
        <w:keepNext w:val="0"/>
        <w:keepLines w:val="0"/>
        <w:widowControl/>
        <w:suppressLineNumbers w:val="0"/>
        <w:shd w:val="clear" w:fill="FFFFFF"/>
        <w:spacing w:before="0" w:beforeAutospacing="0" w:after="0" w:afterAutospacing="0"/>
        <w:ind w:left="0" w:right="0"/>
        <w:jc w:val="left"/>
        <w:rPr>
          <w:rFonts w:hint="eastAsia" w:ascii="宋体" w:hAnsi="宋体" w:eastAsia="宋体" w:cs="宋体"/>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 xml:space="preserve">      地   址：大冶市大棋西路2号    </w:t>
      </w:r>
    </w:p>
    <w:p>
      <w:pPr>
        <w:keepNext w:val="0"/>
        <w:keepLines w:val="0"/>
        <w:widowControl/>
        <w:suppressLineNumbers w:val="0"/>
        <w:shd w:val="clear" w:fill="FFFFFF"/>
        <w:spacing w:before="0" w:beforeAutospacing="0" w:after="0" w:afterAutospacing="0"/>
        <w:ind w:left="0" w:right="0" w:firstLine="700" w:firstLineChars="250"/>
        <w:jc w:val="left"/>
        <w:rPr>
          <w:rFonts w:hint="eastAsia" w:ascii="宋体" w:hAnsi="宋体" w:eastAsia="宋体" w:cs="宋体"/>
          <w:color w:val="000000"/>
          <w:kern w:val="0"/>
          <w:sz w:val="28"/>
          <w:szCs w:val="28"/>
          <w:shd w:val="clear" w:fill="FFFFFF"/>
        </w:rPr>
      </w:pPr>
      <w:r>
        <w:rPr>
          <w:rFonts w:hint="eastAsia" w:ascii="宋体" w:hAnsi="宋体" w:eastAsia="宋体" w:cs="宋体"/>
          <w:color w:val="000000"/>
          <w:kern w:val="0"/>
          <w:sz w:val="28"/>
          <w:szCs w:val="28"/>
          <w:shd w:val="clear" w:fill="FFFFFF"/>
          <w:lang w:val="en-US" w:eastAsia="zh-CN" w:bidi="ar"/>
        </w:rPr>
        <w:t>联系方式：0714-3188072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sans-serif">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东文宋体">
    <w:altName w:val="方正书宋_GBK"/>
    <w:panose1 w:val="00000000000000000000"/>
    <w:charset w:val="00"/>
    <w:family w:val="auto"/>
    <w:pitch w:val="default"/>
    <w:sig w:usb0="00000000" w:usb1="00000000" w:usb2="00000000" w:usb3="00000000" w:csb0="00000000"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BE584"/>
    <w:multiLevelType w:val="multilevel"/>
    <w:tmpl w:val="9DBBE58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EDEF877"/>
    <w:multiLevelType w:val="multilevel"/>
    <w:tmpl w:val="9EDEF87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A76FFD4E"/>
    <w:multiLevelType w:val="singleLevel"/>
    <w:tmpl w:val="A76FFD4E"/>
    <w:lvl w:ilvl="0" w:tentative="0">
      <w:start w:val="1"/>
      <w:numFmt w:val="decimal"/>
      <w:suff w:val="nothing"/>
      <w:lvlText w:val="%1、"/>
      <w:lvlJc w:val="left"/>
    </w:lvl>
  </w:abstractNum>
  <w:abstractNum w:abstractNumId="3">
    <w:nsid w:val="F61DB3FE"/>
    <w:multiLevelType w:val="singleLevel"/>
    <w:tmpl w:val="F61DB3FE"/>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1DA64BAF"/>
    <w:rsid w:val="333DB099"/>
    <w:rsid w:val="777E6924"/>
    <w:rsid w:val="7DFF6FB4"/>
    <w:rsid w:val="7EFDE797"/>
    <w:rsid w:val="7FBFD3D0"/>
    <w:rsid w:val="7FEF2393"/>
    <w:rsid w:val="C3EE8215"/>
    <w:rsid w:val="EDB3E8E1"/>
    <w:rsid w:val="EEFFD789"/>
    <w:rsid w:val="FB7FDF4D"/>
    <w:rsid w:val="FFFE69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bidi="ar"/>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b/>
      <w:bCs/>
      <w:kern w:val="0"/>
      <w:sz w:val="32"/>
      <w:szCs w:val="32"/>
      <w:lang w:val="zh-CN"/>
    </w:rPr>
  </w:style>
  <w:style w:type="paragraph" w:styleId="5">
    <w:name w:val="heading 3"/>
    <w:basedOn w:val="1"/>
    <w:next w:val="1"/>
    <w:qFormat/>
    <w:uiPriority w:val="0"/>
    <w:pPr>
      <w:keepNext/>
      <w:keepLines/>
      <w:widowControl w:val="0"/>
      <w:spacing w:before="260" w:after="260" w:line="415" w:lineRule="auto"/>
      <w:outlineLvl w:val="2"/>
    </w:pPr>
    <w:rPr>
      <w:rFonts w:ascii="Times New Roman" w:hAnsi="Times New Roman"/>
      <w:b/>
      <w:bCs/>
      <w:kern w:val="0"/>
      <w:sz w:val="32"/>
      <w:szCs w:val="32"/>
      <w:lang w:val="zh-CN"/>
    </w:rPr>
  </w:style>
  <w:style w:type="paragraph" w:styleId="6">
    <w:name w:val="heading 4"/>
    <w:basedOn w:val="1"/>
    <w:next w:val="1"/>
    <w:semiHidden/>
    <w:unhideWhenUsed/>
    <w:qFormat/>
    <w:uiPriority w:val="9"/>
    <w:pPr>
      <w:keepNext/>
      <w:keepLines/>
      <w:widowControl w:val="0"/>
      <w:suppressLineNumbers w:val="0"/>
      <w:spacing w:before="280" w:beforeAutospacing="0" w:after="290" w:afterAutospacing="0" w:line="372" w:lineRule="auto"/>
      <w:jc w:val="both"/>
      <w:outlineLvl w:val="3"/>
    </w:pPr>
    <w:rPr>
      <w:rFonts w:hint="default" w:ascii="Arial" w:hAnsi="Arial" w:eastAsia="黑体" w:cs="Times New Roman"/>
      <w:b/>
      <w:bCs/>
      <w:kern w:val="2"/>
      <w:sz w:val="28"/>
      <w:szCs w:val="2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缩进）"/>
    <w:basedOn w:val="1"/>
    <w:qFormat/>
    <w:uiPriority w:val="0"/>
    <w:pPr>
      <w:spacing w:before="50" w:beforeLines="50" w:after="50" w:afterLines="50"/>
      <w:ind w:firstLine="200" w:firstLineChars="200"/>
    </w:pPr>
    <w:rPr>
      <w:sz w:val="24"/>
    </w:rPr>
  </w:style>
  <w:style w:type="paragraph" w:styleId="7">
    <w:name w:val="Normal (Web)"/>
    <w:basedOn w:val="1"/>
    <w:semiHidden/>
    <w:unhideWhenUsed/>
    <w:qFormat/>
    <w:uiPriority w:val="99"/>
    <w:pPr>
      <w:keepNext w:val="0"/>
      <w:keepLines w:val="0"/>
      <w:widowControl w:val="0"/>
      <w:suppressLineNumbers w:val="0"/>
      <w:spacing w:before="0" w:beforeAutospacing="1" w:after="0" w:afterAutospacing="1"/>
      <w:jc w:val="left"/>
    </w:pPr>
    <w:rPr>
      <w:rFonts w:hint="default" w:ascii="Calibri" w:hAnsi="Calibri" w:eastAsia="宋体" w:cs="Times New Roman"/>
      <w:kern w:val="0"/>
      <w:sz w:val="24"/>
      <w:szCs w:val="24"/>
      <w:lang w:val="en-US" w:eastAsia="zh-CN" w:bidi="ar"/>
    </w:rPr>
  </w:style>
  <w:style w:type="paragraph" w:customStyle="1" w:styleId="10">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character" w:customStyle="1" w:styleId="11">
    <w:name w:val="10"/>
    <w:basedOn w:val="9"/>
    <w:qFormat/>
    <w:uiPriority w:val="0"/>
    <w:rPr>
      <w:rFonts w:hint="default" w:ascii="Times New Roman" w:hAnsi="Times New Roman" w:cs="Times New Roman"/>
    </w:rPr>
  </w:style>
  <w:style w:type="character" w:customStyle="1" w:styleId="12">
    <w:name w:val="15"/>
    <w:basedOn w:val="9"/>
    <w:qFormat/>
    <w:uiPriority w:val="0"/>
    <w:rPr>
      <w:rFonts w:hint="default" w:ascii="Cambria" w:hAnsi="Cambria" w:eastAsia="Cambria" w:cs="Cambria"/>
      <w:color w:val="000000"/>
      <w:sz w:val="21"/>
      <w:szCs w:val="21"/>
    </w:rPr>
  </w:style>
  <w:style w:type="character" w:customStyle="1" w:styleId="13">
    <w:name w:val="font31"/>
    <w:basedOn w:val="9"/>
    <w:qFormat/>
    <w:uiPriority w:val="0"/>
    <w:rPr>
      <w:rFonts w:ascii="Cambria" w:hAnsi="Cambria" w:eastAsia="Cambria" w:cs="Cambria"/>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1</Lines>
  <Paragraphs>1</Paragraphs>
  <TotalTime>8</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2021-05-11T07:28:00Z</dcterms:created>
  <dc:creator>User274</dc:creator>
  <cp:lastModifiedBy>user</cp:lastModifiedBy>
  <dcterms:modified xsi:type="dcterms:W3CDTF">2026-04-24T15:21:54Z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33191069C1C493D3B2EEE669AF4668E7</vt:lpwstr>
  </property>
</Properties>
</file>