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767" w:firstLineChars="400"/>
        <w:rPr>
          <w:rFonts w:hint="eastAsia" w:ascii="黑体" w:hAnsi="黑体" w:eastAsia="黑体" w:cs="黑体"/>
          <w:b/>
          <w:color w:val="333333"/>
          <w:kern w:val="0"/>
          <w:sz w:val="44"/>
          <w:szCs w:val="44"/>
        </w:rPr>
      </w:pPr>
      <w:r>
        <w:rPr>
          <w:rFonts w:hint="eastAsia" w:ascii="黑体" w:hAnsi="黑体" w:eastAsia="黑体" w:cs="黑体"/>
          <w:b/>
          <w:color w:val="333333"/>
          <w:kern w:val="0"/>
          <w:sz w:val="44"/>
          <w:szCs w:val="44"/>
        </w:rPr>
        <w:t>大冶市202</w:t>
      </w:r>
      <w:r>
        <w:rPr>
          <w:rFonts w:hint="eastAsia" w:ascii="黑体" w:hAnsi="黑体" w:eastAsia="黑体" w:cs="黑体"/>
          <w:b/>
          <w:color w:val="333333"/>
          <w:kern w:val="0"/>
          <w:sz w:val="44"/>
          <w:szCs w:val="44"/>
          <w:lang w:val="en-US" w:eastAsia="zh-CN"/>
        </w:rPr>
        <w:t>3</w:t>
      </w:r>
      <w:r>
        <w:rPr>
          <w:rFonts w:hint="eastAsia" w:ascii="黑体" w:hAnsi="黑体" w:eastAsia="黑体" w:cs="黑体"/>
          <w:b/>
          <w:color w:val="333333"/>
          <w:kern w:val="0"/>
          <w:sz w:val="44"/>
          <w:szCs w:val="44"/>
        </w:rPr>
        <w:t>年第</w:t>
      </w:r>
      <w:r>
        <w:rPr>
          <w:rFonts w:hint="eastAsia" w:ascii="黑体" w:hAnsi="黑体" w:eastAsia="黑体" w:cs="黑体"/>
          <w:b/>
          <w:color w:val="333333"/>
          <w:kern w:val="0"/>
          <w:sz w:val="44"/>
          <w:szCs w:val="44"/>
          <w:lang w:val="en-US" w:eastAsia="zh-CN"/>
        </w:rPr>
        <w:t>16</w:t>
      </w:r>
      <w:r>
        <w:rPr>
          <w:rFonts w:hint="eastAsia" w:ascii="黑体" w:hAnsi="黑体" w:eastAsia="黑体" w:cs="黑体"/>
          <w:b/>
          <w:color w:val="333333"/>
          <w:kern w:val="0"/>
          <w:sz w:val="44"/>
          <w:szCs w:val="44"/>
        </w:rPr>
        <w:t>期国有</w:t>
      </w:r>
    </w:p>
    <w:p>
      <w:pPr>
        <w:spacing w:line="540" w:lineRule="exact"/>
        <w:ind w:firstLine="883" w:firstLineChars="200"/>
        <w:rPr>
          <w:rFonts w:hint="eastAsia" w:ascii="黑体" w:hAnsi="黑体" w:eastAsia="黑体" w:cs="黑体"/>
          <w:b/>
          <w:color w:val="333333"/>
          <w:kern w:val="0"/>
          <w:sz w:val="36"/>
          <w:szCs w:val="36"/>
        </w:rPr>
      </w:pPr>
      <w:r>
        <w:rPr>
          <w:rFonts w:hint="eastAsia" w:ascii="黑体" w:hAnsi="黑体" w:eastAsia="黑体" w:cs="黑体"/>
          <w:b/>
          <w:color w:val="333333"/>
          <w:kern w:val="0"/>
          <w:sz w:val="44"/>
          <w:szCs w:val="44"/>
        </w:rPr>
        <w:t>建设用地使用权网上挂牌出让须知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大冶市人民政府批准，大冶市公共资源交易中心根据大冶市自然资源和规划局</w:t>
      </w:r>
      <w:r>
        <w:rPr>
          <w:rFonts w:hint="eastAsia" w:eastAsia="仿宋_GB2312"/>
          <w:sz w:val="32"/>
          <w:lang w:val="en-US" w:eastAsia="zh-CN"/>
        </w:rPr>
        <w:t>来</w:t>
      </w:r>
      <w:r>
        <w:rPr>
          <w:rFonts w:hint="eastAsia" w:eastAsia="仿宋_GB2312"/>
          <w:sz w:val="32"/>
        </w:rPr>
        <w:t>函，决定以网上挂牌方式出让</w:t>
      </w:r>
      <w:r>
        <w:rPr>
          <w:rFonts w:hint="eastAsia" w:ascii="仿宋" w:hAnsi="仿宋" w:eastAsia="仿宋" w:cs="宋体"/>
          <w:color w:val="333333"/>
          <w:kern w:val="0"/>
          <w:sz w:val="32"/>
          <w:szCs w:val="32"/>
        </w:rPr>
        <w:t>G2</w:t>
      </w:r>
      <w:r>
        <w:rPr>
          <w:rFonts w:hint="eastAsia" w:ascii="仿宋" w:hAnsi="仿宋" w:eastAsia="仿宋" w:cs="宋体"/>
          <w:color w:val="333333"/>
          <w:kern w:val="0"/>
          <w:sz w:val="32"/>
          <w:szCs w:val="32"/>
          <w:lang w:val="en-US" w:eastAsia="zh-CN"/>
        </w:rPr>
        <w:t>3115号等二宗地块</w:t>
      </w:r>
      <w:r>
        <w:rPr>
          <w:rFonts w:hint="eastAsia" w:eastAsia="仿宋_GB2312"/>
          <w:sz w:val="32"/>
        </w:rPr>
        <w:t>国有建设用地使用权。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一、本次国有建设用地使用权挂牌出让的出让人为大冶市自然资源和规划局，具体组织实施由大冶市公共资源交易中心承办。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二、本次国有建设用地使用权挂牌出让遵循公开、公平、公正和诚实信用原则。</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出让地块的基本情况及规划指标要求等：</w:t>
      </w:r>
    </w:p>
    <w:tbl>
      <w:tblPr>
        <w:tblStyle w:val="7"/>
        <w:tblW w:w="9643" w:type="dxa"/>
        <w:jc w:val="center"/>
        <w:tblLayout w:type="fixed"/>
        <w:tblCellMar>
          <w:top w:w="0" w:type="dxa"/>
          <w:left w:w="0" w:type="dxa"/>
          <w:bottom w:w="0" w:type="dxa"/>
          <w:right w:w="0" w:type="dxa"/>
        </w:tblCellMar>
      </w:tblPr>
      <w:tblGrid>
        <w:gridCol w:w="771"/>
        <w:gridCol w:w="1549"/>
        <w:gridCol w:w="923"/>
        <w:gridCol w:w="863"/>
        <w:gridCol w:w="833"/>
        <w:gridCol w:w="920"/>
        <w:gridCol w:w="753"/>
        <w:gridCol w:w="705"/>
        <w:gridCol w:w="912"/>
        <w:gridCol w:w="730"/>
        <w:gridCol w:w="684"/>
      </w:tblGrid>
      <w:tr>
        <w:tblPrEx>
          <w:tblCellMar>
            <w:top w:w="0" w:type="dxa"/>
            <w:left w:w="0" w:type="dxa"/>
            <w:bottom w:w="0" w:type="dxa"/>
            <w:right w:w="0" w:type="dxa"/>
          </w:tblCellMar>
        </w:tblPrEx>
        <w:trPr>
          <w:cantSplit/>
          <w:trHeight w:val="281" w:hRule="atLeast"/>
          <w:jc w:val="center"/>
        </w:trPr>
        <w:tc>
          <w:tcPr>
            <w:tcW w:w="7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地块</w:t>
            </w:r>
          </w:p>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编号</w:t>
            </w:r>
          </w:p>
        </w:tc>
        <w:tc>
          <w:tcPr>
            <w:tcW w:w="154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土地坐落</w:t>
            </w:r>
          </w:p>
        </w:tc>
        <w:tc>
          <w:tcPr>
            <w:tcW w:w="923"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总面积</w:t>
            </w:r>
          </w:p>
        </w:tc>
        <w:tc>
          <w:tcPr>
            <w:tcW w:w="863"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出让面积(㎡)</w:t>
            </w:r>
          </w:p>
        </w:tc>
        <w:tc>
          <w:tcPr>
            <w:tcW w:w="8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土地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用途</w:t>
            </w:r>
          </w:p>
        </w:tc>
        <w:tc>
          <w:tcPr>
            <w:tcW w:w="23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规划指标要求</w:t>
            </w:r>
          </w:p>
        </w:tc>
        <w:tc>
          <w:tcPr>
            <w:tcW w:w="91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年限</w:t>
            </w:r>
          </w:p>
        </w:tc>
        <w:tc>
          <w:tcPr>
            <w:tcW w:w="730"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竞买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保证金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挂牌</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起始价</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r>
      <w:tr>
        <w:tblPrEx>
          <w:tblCellMar>
            <w:top w:w="0" w:type="dxa"/>
            <w:left w:w="0" w:type="dxa"/>
            <w:bottom w:w="0" w:type="dxa"/>
            <w:right w:w="0" w:type="dxa"/>
          </w:tblCellMar>
        </w:tblPrEx>
        <w:trPr>
          <w:cantSplit/>
          <w:trHeight w:val="403" w:hRule="atLeast"/>
          <w:jc w:val="center"/>
        </w:trPr>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1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kern w:val="0"/>
                <w:sz w:val="18"/>
                <w:szCs w:val="18"/>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8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容积率</w:t>
            </w:r>
          </w:p>
        </w:tc>
        <w:tc>
          <w:tcPr>
            <w:tcW w:w="7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ind w:firstLine="90" w:firstLineChars="50"/>
              <w:jc w:val="center"/>
              <w:rPr>
                <w:rFonts w:hint="eastAsia" w:ascii="仿宋" w:hAnsi="仿宋" w:eastAsia="仿宋" w:cs="仿宋"/>
                <w:color w:val="auto"/>
                <w:sz w:val="18"/>
                <w:szCs w:val="18"/>
              </w:rPr>
            </w:pPr>
            <w:r>
              <w:rPr>
                <w:rFonts w:hint="eastAsia" w:ascii="仿宋" w:hAnsi="仿宋" w:eastAsia="仿宋" w:cs="仿宋"/>
                <w:color w:val="auto"/>
                <w:sz w:val="18"/>
                <w:szCs w:val="18"/>
              </w:rPr>
              <w:t>建筑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密度(%)</w:t>
            </w:r>
          </w:p>
        </w:tc>
        <w:tc>
          <w:tcPr>
            <w:tcW w:w="7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绿地率(%)</w:t>
            </w:r>
          </w:p>
        </w:tc>
        <w:tc>
          <w:tcPr>
            <w:tcW w:w="9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G23115</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罗桥商贸新区新冶大道以西、金桥大道以北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16996.63</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16996.63</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商业</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≤1.03</w:t>
            </w:r>
          </w:p>
        </w:tc>
        <w:tc>
          <w:tcPr>
            <w:tcW w:w="7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lang w:val="en-US" w:eastAsia="zh-CN"/>
              </w:rPr>
              <w:t>≤33.57</w:t>
            </w:r>
          </w:p>
        </w:tc>
        <w:tc>
          <w:tcPr>
            <w:tcW w:w="7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≥13.5</w:t>
            </w:r>
          </w:p>
        </w:tc>
        <w:tc>
          <w:tcPr>
            <w:tcW w:w="9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40</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875</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1750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G23116</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城东北片区纬十路南侧、经八路东侧</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12161.84</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10887.8</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加油加气站用地</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lang w:val="en-US" w:eastAsia="zh-CN"/>
              </w:rPr>
              <w:t>≤0.5</w:t>
            </w:r>
          </w:p>
        </w:tc>
        <w:tc>
          <w:tcPr>
            <w:tcW w:w="7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lang w:val="en-US" w:eastAsia="zh-CN"/>
              </w:rPr>
              <w:t>≤40</w:t>
            </w:r>
          </w:p>
        </w:tc>
        <w:tc>
          <w:tcPr>
            <w:tcW w:w="7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lang w:val="en-US" w:eastAsia="zh-CN"/>
              </w:rPr>
              <w:t>≥10</w:t>
            </w:r>
          </w:p>
        </w:tc>
        <w:tc>
          <w:tcPr>
            <w:tcW w:w="91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40</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2725</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5450</w:t>
            </w:r>
          </w:p>
        </w:tc>
      </w:tr>
      <w:tr>
        <w:tblPrEx>
          <w:tblCellMar>
            <w:top w:w="0" w:type="dxa"/>
            <w:left w:w="0" w:type="dxa"/>
            <w:bottom w:w="0" w:type="dxa"/>
            <w:right w:w="0" w:type="dxa"/>
          </w:tblCellMar>
        </w:tblPrEx>
        <w:trPr>
          <w:cantSplit/>
          <w:trHeight w:val="555" w:hRule="atLeast"/>
          <w:jc w:val="center"/>
        </w:trPr>
        <w:tc>
          <w:tcPr>
            <w:tcW w:w="9643"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color w:val="auto"/>
                <w:sz w:val="18"/>
                <w:szCs w:val="18"/>
              </w:rPr>
            </w:pPr>
            <w:r>
              <w:rPr>
                <w:rFonts w:hint="eastAsia" w:ascii="仿宋" w:hAnsi="仿宋" w:eastAsia="仿宋" w:cs="仿宋"/>
                <w:color w:val="auto"/>
                <w:sz w:val="18"/>
                <w:szCs w:val="18"/>
              </w:rPr>
              <w:t>规划计容建筑面积：G</w:t>
            </w:r>
            <w:r>
              <w:rPr>
                <w:rFonts w:hint="eastAsia" w:ascii="仿宋" w:hAnsi="仿宋" w:eastAsia="仿宋" w:cs="仿宋"/>
                <w:color w:val="auto"/>
                <w:sz w:val="18"/>
                <w:szCs w:val="18"/>
                <w:lang w:val="en-US" w:eastAsia="zh-CN"/>
              </w:rPr>
              <w:t>23115</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17507</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lang w:val="en-US" w:eastAsia="zh-CN"/>
              </w:rPr>
              <w:t>G23116≤5444</w:t>
            </w:r>
            <w:r>
              <w:rPr>
                <w:rFonts w:hint="eastAsia" w:ascii="仿宋" w:hAnsi="仿宋" w:eastAsia="仿宋" w:cs="仿宋"/>
                <w:color w:val="auto"/>
                <w:sz w:val="18"/>
                <w:szCs w:val="18"/>
                <w:lang w:eastAsia="zh-CN"/>
              </w:rPr>
              <w:t>。</w:t>
            </w:r>
          </w:p>
        </w:tc>
      </w:tr>
    </w:tbl>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四、特别约定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（一）土地开发程度：</w:t>
      </w:r>
      <w:r>
        <w:rPr>
          <w:rFonts w:hint="eastAsia" w:eastAsia="仿宋_GB2312"/>
          <w:sz w:val="32"/>
          <w:lang w:val="en-US" w:eastAsia="zh-CN"/>
        </w:rPr>
        <w:t>上述</w:t>
      </w:r>
      <w:r>
        <w:rPr>
          <w:rFonts w:hint="eastAsia" w:eastAsia="仿宋_GB2312"/>
          <w:sz w:val="32"/>
        </w:rPr>
        <w:t>宗地外</w:t>
      </w:r>
      <w:r>
        <w:rPr>
          <w:rFonts w:hint="eastAsia" w:eastAsia="仿宋_GB2312"/>
          <w:sz w:val="32"/>
          <w:lang w:val="en-US" w:eastAsia="zh-CN"/>
        </w:rPr>
        <w:t>五</w:t>
      </w:r>
      <w:r>
        <w:rPr>
          <w:rFonts w:hint="eastAsia" w:eastAsia="仿宋_GB2312"/>
          <w:sz w:val="32"/>
        </w:rPr>
        <w:t>通，即通路、通电、通上水</w:t>
      </w:r>
      <w:r>
        <w:rPr>
          <w:rFonts w:hint="eastAsia" w:eastAsia="仿宋_GB2312"/>
          <w:sz w:val="32"/>
          <w:lang w:eastAsia="zh-CN"/>
        </w:rPr>
        <w:t>、</w:t>
      </w:r>
      <w:r>
        <w:rPr>
          <w:rFonts w:hint="eastAsia" w:eastAsia="仿宋_GB2312"/>
          <w:sz w:val="32"/>
          <w:lang w:val="en-US" w:eastAsia="zh-CN"/>
        </w:rPr>
        <w:t>通下水、通讯</w:t>
      </w:r>
      <w:r>
        <w:rPr>
          <w:rFonts w:hint="eastAsia" w:eastAsia="仿宋_GB2312"/>
          <w:sz w:val="32"/>
          <w:lang w:eastAsia="zh-CN"/>
        </w:rPr>
        <w:t>，</w:t>
      </w:r>
      <w:r>
        <w:rPr>
          <w:rFonts w:hint="eastAsia" w:eastAsia="仿宋_GB2312"/>
          <w:sz w:val="32"/>
        </w:rPr>
        <w:t>宗地内场地现状交付</w:t>
      </w:r>
      <w:r>
        <w:rPr>
          <w:rFonts w:hint="eastAsia"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（二）上述宗地挂牌出让成交后，竞得人应在成交之日起30日内</w:t>
      </w:r>
      <w:r>
        <w:rPr>
          <w:rFonts w:hint="eastAsia" w:eastAsia="仿宋_GB2312"/>
          <w:sz w:val="32"/>
          <w:lang w:val="en-US" w:eastAsia="zh-CN"/>
        </w:rPr>
        <w:t>与出让人签订《</w:t>
      </w:r>
      <w:r>
        <w:rPr>
          <w:rFonts w:hint="eastAsia" w:eastAsia="仿宋_GB2312"/>
          <w:sz w:val="32"/>
        </w:rPr>
        <w:t>国有建设用地使用权出让合同</w:t>
      </w:r>
      <w:r>
        <w:rPr>
          <w:rFonts w:hint="eastAsia" w:eastAsia="仿宋_GB2312"/>
          <w:sz w:val="32"/>
          <w:lang w:val="en-US" w:eastAsia="zh-CN"/>
        </w:rPr>
        <w:t>》，按土地出让合同约定</w:t>
      </w:r>
      <w:r>
        <w:rPr>
          <w:rFonts w:hint="eastAsia" w:eastAsia="仿宋_GB2312"/>
          <w:sz w:val="32"/>
        </w:rPr>
        <w:t>缴纳土地成交价款，并在签订出让合同后10个工作日内建立“建设项目信息公示牌”，公示牌具体规格及公示内容由大冶市自然资源和规划局另行告知。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（三）上述宗地以现状挂牌出让，实际勘测交付面积与挂牌出让文件标明的出让面积差异率在1%以内的，面积差异不影响成交价格。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四</w:t>
      </w:r>
      <w:r>
        <w:rPr>
          <w:rFonts w:hint="eastAsia" w:eastAsia="仿宋_GB2312"/>
          <w:sz w:val="32"/>
        </w:rPr>
        <w:t>）上述地块竞得人在宗地内依规划建设，连建地下建（构）筑物，使用地下建设用地使用权的，按照下列规定办理土地供应手续：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1.符合划拨用地目录的，可以划拨方式办理土地供应手续；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2.不符合划拨用地目录的，经依法批准以协议方式办理出让手续，按照不低于出让时相同主导功能用途、土地级别、使用年限的地上建设用地市场价标准的30%缴纳土地出让价款。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五、竞买资格及要求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四）本次国有建设用地使用权挂牌出让只能在互联网上通过大冶市政府网“招投标”栏目国有土地网上交易系统进行。只有办理数字证书、通过网上注册、足额交纳竞买保证金的申请人，才能参加网上挂牌出让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（五）只接受网上报名、网上竞买申请及报价。竞买人的网上竞买报价一经系统确认，不能修改或撤回。不接受电话、邮寄、书面、口头等其他方式的竞买申请和报价。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交纳竞买保证金的截止时间为2024年1月15日17时00分（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（七）竞买人保证金必须从单位账户汇出，在网上交易系统点击“申购”,通过交易系统在2024年1月15日17时00分前,一次性足额将竞买保证金汇入我中心指定的保证金账户。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六、竞买申请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我中心将通过互联网站(网址：http://www.hbdaye.gov.cn/)“招投标”栏目发布网上挂牌出让相关文件。有意竞买者须登陆该系统，在网上浏览或下载本次挂牌出让文件，网上挂牌出让文件具体包括：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（二）《国有建设用地使用权网上挂牌出让规则》(以下简称《出让规则》)；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（三）《国有建设用地使用权网上挂牌出让须知》(以下简称《出让须知》)；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竞买申请书；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（五）</w:t>
      </w:r>
      <w:r>
        <w:rPr>
          <w:rFonts w:hint="eastAsia" w:eastAsia="仿宋_GB2312"/>
          <w:sz w:val="32"/>
          <w:lang w:val="en-US" w:eastAsia="zh-CN"/>
        </w:rPr>
        <w:t>挂牌出让宗地规划条件通知书；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《国有建设用地网上挂牌出让成交确认书》(以下简称《成交确认书》)；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七</w:t>
      </w:r>
      <w:r>
        <w:rPr>
          <w:rFonts w:hint="eastAsia" w:eastAsia="仿宋_GB2312"/>
          <w:sz w:val="32"/>
          <w:lang w:val="zh-CN" w:eastAsia="zh-CN"/>
        </w:rPr>
        <w:t>）</w:t>
      </w:r>
      <w:r>
        <w:rPr>
          <w:rFonts w:hint="eastAsia" w:eastAsia="仿宋_GB2312"/>
          <w:sz w:val="32"/>
          <w:lang w:val="en-US" w:eastAsia="zh-CN"/>
        </w:rPr>
        <w:t>宗地界址图；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竞买申请及竞买保证金一经提交确认后，即视为竞买人对公开出让文件及地块现状无异议并全部接受，并对有关承诺承担法律责任。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七、资格审查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我中心通过网上挂牌出让交易系统自动确认竞买人资格。通过我中心网上挂牌出让交易系统提交竞买申请、竞买保证金，且通过交易系统资格审查的，方能取得竞买资格，网上将自动生成《竞买资格确认书》。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经审查，有下列情形之一的，为无效申请：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（一）申请人不具备竞买资格的；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（二）未按规定交纳竞买保证金的；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（三）申请文件不齐全或不符合规定的；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（四）法律法规规定的其他情形。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八、答疑及现场踏勘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竞买人必须全面阅读有关网上挂牌出让文件，对挂牌文件及宗地现状有疑问的，可通过电话向大冶市公共资源交易中心咨询，大冶市公共资源交易中心及时就咨询事项给予答复 (咨询电话：0714--3188055)。也可向大冶市自然资源和规划局及大冶市公共资源交易中心申请组织现场踏勘。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九、本次挂牌出让活动有关时间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挂牌时间为10日，具体如下：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1、挂牌起始时间：2024年1月7日上午10时；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2、挂牌截止时间：2024年1月17日上午10时。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十、挂牌程序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（一）在中国土地市场网、黄石市公共资源交易中心网、大冶市政府网、《今日大冶》等网站和媒体发布网上挂牌出让公告、出让宗地相关信息；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（二）在挂牌期内，有意竞买者通过注册申请并缴纳竞买保证金至指定账户后，取得竞买资格；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（三）竞买人在挂牌期内参与竞买，报价经系统确认无误后即显示为当前报价；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网上交易系统根据挂牌截止时的最高报价且不低于底价的自动确定竞得人，竞得人可以下载系统生成的《成交确认书》及相关文件。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（五）出让结果公布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大冶市公共资源交易中心将在此次国有建设用地使用权挂牌出让活动结束后10个工作日内，在中国土地市场网、黄石市公共资源交易中心网、</w:t>
      </w:r>
      <w:r>
        <w:rPr>
          <w:rFonts w:hint="eastAsia" w:eastAsia="仿宋_GB2312"/>
          <w:sz w:val="32"/>
          <w:lang w:val="en-US" w:eastAsia="zh-CN"/>
        </w:rPr>
        <w:t>大冶市政府网等网站</w:t>
      </w:r>
      <w:r>
        <w:rPr>
          <w:rFonts w:hint="eastAsia" w:eastAsia="仿宋_GB2312"/>
          <w:sz w:val="32"/>
          <w:lang w:val="zh-CN" w:eastAsia="zh-CN"/>
        </w:rPr>
        <w:t>上公布本次国有建设用地使用权网上挂牌出让结果。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本次网上挂牌出让交易的报价规则详见大冶市政府网“招投标”栏目国有土地网上交易系统上发布的《交易规则》第四章、第五章。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仿宋_GB2312"/>
          <w:sz w:val="32"/>
        </w:rPr>
      </w:pPr>
      <w:r>
        <w:rPr>
          <w:rFonts w:hint="eastAsia" w:eastAsia="仿宋_GB2312"/>
          <w:sz w:val="32"/>
          <w:lang w:val="en-US" w:eastAsia="zh-CN"/>
        </w:rPr>
        <w:t>十一、（一）</w:t>
      </w:r>
      <w:r>
        <w:rPr>
          <w:rFonts w:hint="eastAsia" w:eastAsia="仿宋_GB2312"/>
          <w:sz w:val="32"/>
        </w:rPr>
        <w:t>各宗地的竞买保证金分别为：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G23115</w:t>
      </w:r>
      <w:r>
        <w:rPr>
          <w:rFonts w:hint="eastAsia" w:eastAsia="仿宋_GB2312"/>
          <w:sz w:val="32"/>
        </w:rPr>
        <w:t>号地块为人民币大写</w:t>
      </w:r>
      <w:r>
        <w:rPr>
          <w:rFonts w:hint="eastAsia" w:eastAsia="仿宋_GB2312"/>
          <w:sz w:val="32"/>
          <w:lang w:val="en-US" w:eastAsia="zh-CN"/>
        </w:rPr>
        <w:t>捌佰柒拾伍</w:t>
      </w:r>
      <w:r>
        <w:rPr>
          <w:rFonts w:hint="eastAsia" w:eastAsia="仿宋_GB2312"/>
          <w:sz w:val="32"/>
        </w:rPr>
        <w:t>万元整（￥：</w:t>
      </w:r>
      <w:r>
        <w:rPr>
          <w:rFonts w:hint="eastAsia" w:eastAsia="仿宋_GB2312"/>
          <w:sz w:val="32"/>
          <w:lang w:val="en-US" w:eastAsia="zh-CN"/>
        </w:rPr>
        <w:t>875</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eastAsia="zh-CN"/>
        </w:rPr>
      </w:pPr>
      <w:r>
        <w:rPr>
          <w:rFonts w:hint="eastAsia" w:eastAsia="仿宋_GB2312"/>
          <w:sz w:val="32"/>
          <w:lang w:val="en-US" w:eastAsia="zh-CN"/>
        </w:rPr>
        <w:t xml:space="preserve"> G23116</w:t>
      </w:r>
      <w:r>
        <w:rPr>
          <w:rFonts w:hint="eastAsia" w:eastAsia="仿宋_GB2312"/>
          <w:sz w:val="32"/>
        </w:rPr>
        <w:t>号地块为人民币大写</w:t>
      </w:r>
      <w:r>
        <w:rPr>
          <w:rFonts w:hint="eastAsia" w:eastAsia="仿宋_GB2312"/>
          <w:sz w:val="32"/>
          <w:lang w:val="en-US" w:eastAsia="zh-CN"/>
        </w:rPr>
        <w:t>贰仟柒佰贰拾伍</w:t>
      </w:r>
      <w:r>
        <w:rPr>
          <w:rFonts w:hint="eastAsia" w:eastAsia="仿宋_GB2312"/>
          <w:sz w:val="32"/>
        </w:rPr>
        <w:t>万元整（￥：</w:t>
      </w:r>
      <w:r>
        <w:rPr>
          <w:rFonts w:hint="eastAsia" w:eastAsia="仿宋_GB2312"/>
          <w:sz w:val="32"/>
          <w:lang w:val="en-US" w:eastAsia="zh-CN"/>
        </w:rPr>
        <w:t>2725</w:t>
      </w:r>
      <w:r>
        <w:rPr>
          <w:rFonts w:hint="eastAsia" w:eastAsia="仿宋_GB2312"/>
          <w:sz w:val="32"/>
        </w:rPr>
        <w:t>0000.00）</w:t>
      </w:r>
      <w:r>
        <w:rPr>
          <w:rFonts w:hint="eastAsia"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（二）</w:t>
      </w:r>
      <w:r>
        <w:rPr>
          <w:rFonts w:hint="eastAsia" w:eastAsia="仿宋_GB2312"/>
          <w:sz w:val="32"/>
        </w:rPr>
        <w:t xml:space="preserve">各宗地的出让起始价、增价幅度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G23115</w:t>
      </w:r>
      <w:r>
        <w:rPr>
          <w:rFonts w:hint="eastAsia" w:eastAsia="仿宋_GB2312"/>
          <w:sz w:val="32"/>
        </w:rPr>
        <w:t>号地块：出让起始价为人民币大写</w:t>
      </w:r>
      <w:r>
        <w:rPr>
          <w:rFonts w:hint="eastAsia" w:eastAsia="仿宋_GB2312"/>
          <w:sz w:val="32"/>
          <w:lang w:val="en-US" w:eastAsia="zh-CN"/>
        </w:rPr>
        <w:t>壹仟柒佰伍拾</w:t>
      </w:r>
      <w:r>
        <w:rPr>
          <w:rFonts w:hint="eastAsia" w:eastAsia="仿宋_GB2312"/>
          <w:sz w:val="32"/>
        </w:rPr>
        <w:t>万元整（￥</w:t>
      </w:r>
      <w:r>
        <w:rPr>
          <w:rFonts w:hint="eastAsia" w:eastAsia="仿宋_GB2312"/>
          <w:sz w:val="32"/>
          <w:lang w:val="en-US" w:eastAsia="zh-CN"/>
        </w:rPr>
        <w:t>1750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G23116</w:t>
      </w:r>
      <w:bookmarkStart w:id="0" w:name="_GoBack"/>
      <w:bookmarkEnd w:id="0"/>
      <w:r>
        <w:rPr>
          <w:rFonts w:hint="eastAsia" w:eastAsia="仿宋_GB2312"/>
          <w:sz w:val="32"/>
        </w:rPr>
        <w:t>号地块：出让起始价为人民币大写</w:t>
      </w:r>
      <w:r>
        <w:rPr>
          <w:rFonts w:hint="eastAsia" w:eastAsia="仿宋_GB2312"/>
          <w:sz w:val="32"/>
          <w:lang w:val="en-US" w:eastAsia="zh-CN"/>
        </w:rPr>
        <w:t>伍仟肆佰伍拾</w:t>
      </w:r>
      <w:r>
        <w:rPr>
          <w:rFonts w:hint="eastAsia" w:eastAsia="仿宋_GB2312"/>
          <w:sz w:val="32"/>
        </w:rPr>
        <w:t>万元整（￥</w:t>
      </w:r>
      <w:r>
        <w:rPr>
          <w:rFonts w:hint="eastAsia" w:eastAsia="仿宋_GB2312"/>
          <w:sz w:val="32"/>
          <w:lang w:val="en-US" w:eastAsia="zh-CN"/>
        </w:rPr>
        <w:t>5450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（三）</w:t>
      </w:r>
      <w:r>
        <w:rPr>
          <w:rFonts w:hint="eastAsia" w:eastAsia="仿宋_GB2312"/>
          <w:sz w:val="32"/>
          <w:lang w:val="zh-CN" w:eastAsia="zh-CN"/>
        </w:rPr>
        <w:t>在报价期间，竞买人可多次报价。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（四）竞买人通过系统提交的报价一经报出，不得撤回。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（五）竞买人报价有下列情形之一的，为无效报价：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1、报价因竞买人网络故障未在挂牌报价期限内报价的；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2、报价不符合报价规则的；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3、报价与竞买文件不符的；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4、报价不符合挂牌文件规定的其他情形的。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十二、注意事项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挂牌期满，网上挂牌出让成交确认系统根据下列条件自动确定竞得人：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（一）在挂牌期限内，只有一个竞买人报价，且报价等于或高于底价，挂牌成交；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（二）在挂牌期限内，有两个或者两个以上竞买人报价的，报价等于或高于底价，且出价最高者为竞得人；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（三）在挂牌期限内，无应价者或竞买人的报价均低于底价的，挂牌不成交；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在挂牌期限截止前10分钟，竞买人必须在挂牌报价期间最少有一次报价，才能进入最后的限时报价；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五</w:t>
      </w:r>
      <w:r>
        <w:rPr>
          <w:rFonts w:hint="eastAsia" w:eastAsia="仿宋_GB2312"/>
          <w:sz w:val="32"/>
          <w:lang w:val="zh-CN" w:eastAsia="zh-CN"/>
        </w:rPr>
        <w:t>）</w:t>
      </w:r>
      <w:r>
        <w:rPr>
          <w:rFonts w:hint="eastAsia" w:eastAsia="仿宋_GB2312"/>
          <w:sz w:val="32"/>
          <w:lang w:val="en-US" w:eastAsia="zh-CN"/>
        </w:rPr>
        <w:t>在挂牌期限截止时前10分钟内仍有竞买人报价的，将对挂牌宗地进行网上限时竞价，报价最高且报价等于或高于底价者为竞得人。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（八）本次公开出让地块均设有出让底价，在公开出让活动结束前须严格保密。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（十）竞得人的竞买保证金转作受让地块的定金；未竞得人的竞买保证金将于网上挂牌活动结束后5个工作日内不计利息全额退还。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十一</w:t>
      </w:r>
      <w:r>
        <w:rPr>
          <w:rFonts w:hint="eastAsia" w:eastAsia="仿宋_GB2312"/>
          <w:sz w:val="32"/>
          <w:lang w:val="zh-CN" w:eastAsia="zh-CN"/>
        </w:rPr>
        <w:t>）有下列情形之一的，大冶市公共资源交易中心将中（终）止挂牌活动：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1、因系统遭受破坏或发生电力、网络故障等不可抗力以及网络恶意入侵等非挂牌人因素，导致系统不能正常运行的；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4、应当依法中（终）止公开出让活动的其他情形。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十二</w:t>
      </w:r>
      <w:r>
        <w:rPr>
          <w:rFonts w:hint="eastAsia" w:eastAsia="仿宋_GB2312"/>
          <w:sz w:val="32"/>
          <w:lang w:val="zh-CN" w:eastAsia="zh-CN"/>
        </w:rPr>
        <w:t>）竞得人有下列行为的视为违约，视为违约，出让人可取消其竞得人资格，竞买保证金不予退还：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1、竞得人逾期或拒绝签订《成交确认书》的；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十三</w:t>
      </w:r>
      <w:r>
        <w:rPr>
          <w:rFonts w:hint="eastAsia" w:eastAsia="仿宋_GB2312"/>
          <w:sz w:val="32"/>
          <w:lang w:val="zh-CN" w:eastAsia="zh-CN"/>
        </w:rPr>
        <w:t>）竞得人有下列行为之一的，竞得结果无效，造成损失的，应当依法承担赔偿责任：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1、采取行贿、恶意串通等非法手段竞得的；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2、提供的注册信息不真实、不准确、不完整等原因造成宗地出让无法成交的；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3、不按网上注册时登记的内容提供有关文件材料，或提供虚假文件材料、隐瞒事实，引起出让纠纷的；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4、构成违约责任的其他行为。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（十四）上述宗地出让成交价为宗地的总地价款。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（十</w:t>
      </w:r>
      <w:r>
        <w:rPr>
          <w:rFonts w:hint="eastAsia" w:eastAsia="仿宋_GB2312"/>
          <w:sz w:val="32"/>
          <w:lang w:val="zh-CN" w:eastAsia="zh-CN"/>
        </w:rPr>
        <w:t>五</w:t>
      </w:r>
      <w:r>
        <w:rPr>
          <w:rFonts w:hint="eastAsia" w:eastAsia="仿宋_GB2312"/>
          <w:sz w:val="32"/>
          <w:lang w:val="en-US" w:eastAsia="zh-CN"/>
        </w:rPr>
        <w:t>）竞得人与出让人签订</w:t>
      </w:r>
      <w:r>
        <w:rPr>
          <w:rFonts w:hint="eastAsia" w:eastAsia="仿宋_GB2312"/>
          <w:sz w:val="32"/>
          <w:lang w:val="zh-CN" w:eastAsia="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（十六）公开出让不成交的，应当按规定由大冶市公共资源交易中心重新组织出让。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（十七）参加公开出让活动的人员，应遵守现场的纪律，服从管理人员的管理。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（十</w:t>
      </w:r>
      <w:r>
        <w:rPr>
          <w:rFonts w:hint="eastAsia" w:eastAsia="仿宋_GB2312"/>
          <w:sz w:val="32"/>
          <w:lang w:val="en-US" w:eastAsia="zh-CN"/>
        </w:rPr>
        <w:t>八</w:t>
      </w:r>
      <w:r>
        <w:rPr>
          <w:rFonts w:hint="eastAsia" w:eastAsia="仿宋_GB2312"/>
          <w:sz w:val="32"/>
          <w:lang w:val="zh-CN" w:eastAsia="zh-CN"/>
        </w:rPr>
        <w:t>）大冶市自然资源和规划局和大冶市公共资源交易中心对本《出让须知》有解释权。未尽事宜依照《招标拍卖挂牌出让国有土地使用权规范》办理。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460" w:lineRule="exact"/>
        <w:ind w:firstLine="3520" w:firstLineChars="1100"/>
        <w:textAlignment w:val="auto"/>
        <w:rPr>
          <w:rFonts w:hint="eastAsia" w:eastAsia="仿宋_GB2312"/>
          <w:sz w:val="32"/>
          <w:lang w:val="en-US" w:eastAsia="zh-CN"/>
        </w:rPr>
      </w:pPr>
      <w:r>
        <w:rPr>
          <w:rFonts w:hint="eastAsia" w:eastAsia="仿宋_GB2312"/>
          <w:sz w:val="32"/>
          <w:lang w:val="en-US" w:eastAsia="zh-CN"/>
        </w:rPr>
        <w:t>出让人: 大冶市自然资源和规划局</w:t>
      </w:r>
    </w:p>
    <w:p>
      <w:pPr>
        <w:keepNext w:val="0"/>
        <w:keepLines w:val="0"/>
        <w:pageBreakBefore w:val="0"/>
        <w:widowControl w:val="0"/>
        <w:kinsoku/>
        <w:wordWrap/>
        <w:overflowPunct/>
        <w:topLinePunct w:val="0"/>
        <w:autoSpaceDE/>
        <w:autoSpaceDN/>
        <w:bidi w:val="0"/>
        <w:adjustRightInd/>
        <w:snapToGrid/>
        <w:spacing w:line="460" w:lineRule="exact"/>
        <w:ind w:firstLine="3520" w:firstLineChars="1100"/>
        <w:textAlignment w:val="auto"/>
        <w:rPr>
          <w:rFonts w:hint="eastAsia" w:eastAsia="仿宋_GB2312"/>
          <w:sz w:val="32"/>
          <w:lang w:val="en-US" w:eastAsia="zh-CN"/>
        </w:rPr>
      </w:pPr>
      <w:r>
        <w:rPr>
          <w:rFonts w:hint="eastAsia" w:eastAsia="仿宋_GB2312"/>
          <w:sz w:val="32"/>
          <w:lang w:val="en-US" w:eastAsia="zh-CN"/>
        </w:rPr>
        <w:t>挂牌人：大冶市公共资源交易中心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 xml:space="preserve">                          2023年12月18日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3E1BE"/>
    <w:multiLevelType w:val="singleLevel"/>
    <w:tmpl w:val="1F63E1B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YzIwOTA2MDQyYmUyOGZkNDJhMzNiZDQ2ODljMTMifQ=="/>
  </w:docVars>
  <w:rsids>
    <w:rsidRoot w:val="00485EA7"/>
    <w:rsid w:val="00017D57"/>
    <w:rsid w:val="0004655D"/>
    <w:rsid w:val="00063C93"/>
    <w:rsid w:val="000B0193"/>
    <w:rsid w:val="000B369F"/>
    <w:rsid w:val="0013704A"/>
    <w:rsid w:val="00161710"/>
    <w:rsid w:val="00191FA6"/>
    <w:rsid w:val="001F0BC6"/>
    <w:rsid w:val="002169D1"/>
    <w:rsid w:val="00256845"/>
    <w:rsid w:val="00274595"/>
    <w:rsid w:val="00384597"/>
    <w:rsid w:val="003C2082"/>
    <w:rsid w:val="003D407D"/>
    <w:rsid w:val="004668F7"/>
    <w:rsid w:val="004707F7"/>
    <w:rsid w:val="00485EA7"/>
    <w:rsid w:val="004A7191"/>
    <w:rsid w:val="004F5862"/>
    <w:rsid w:val="00526F71"/>
    <w:rsid w:val="00581546"/>
    <w:rsid w:val="0059520E"/>
    <w:rsid w:val="005E08BE"/>
    <w:rsid w:val="00651652"/>
    <w:rsid w:val="006903AF"/>
    <w:rsid w:val="006A1119"/>
    <w:rsid w:val="006E3433"/>
    <w:rsid w:val="00750654"/>
    <w:rsid w:val="00772468"/>
    <w:rsid w:val="007978A7"/>
    <w:rsid w:val="007A23C5"/>
    <w:rsid w:val="007A68C0"/>
    <w:rsid w:val="007F6B22"/>
    <w:rsid w:val="0086539F"/>
    <w:rsid w:val="008832BA"/>
    <w:rsid w:val="008F4E15"/>
    <w:rsid w:val="008F5690"/>
    <w:rsid w:val="00935A74"/>
    <w:rsid w:val="00954E25"/>
    <w:rsid w:val="009B3888"/>
    <w:rsid w:val="009B6922"/>
    <w:rsid w:val="00A07983"/>
    <w:rsid w:val="00A262DF"/>
    <w:rsid w:val="00A41AA2"/>
    <w:rsid w:val="00A61DA6"/>
    <w:rsid w:val="00A76A57"/>
    <w:rsid w:val="00A81E04"/>
    <w:rsid w:val="00AC2AE1"/>
    <w:rsid w:val="00AE3E74"/>
    <w:rsid w:val="00AE56BD"/>
    <w:rsid w:val="00B23622"/>
    <w:rsid w:val="00B3093C"/>
    <w:rsid w:val="00B31EB2"/>
    <w:rsid w:val="00B32B82"/>
    <w:rsid w:val="00B53BC3"/>
    <w:rsid w:val="00B759F5"/>
    <w:rsid w:val="00BD6DC2"/>
    <w:rsid w:val="00BF43F5"/>
    <w:rsid w:val="00BF48D1"/>
    <w:rsid w:val="00C12AC2"/>
    <w:rsid w:val="00C5453F"/>
    <w:rsid w:val="00C820DF"/>
    <w:rsid w:val="00D3529F"/>
    <w:rsid w:val="00D515AA"/>
    <w:rsid w:val="00D53510"/>
    <w:rsid w:val="00DB28EB"/>
    <w:rsid w:val="00DF0199"/>
    <w:rsid w:val="00DF51C4"/>
    <w:rsid w:val="00E338A3"/>
    <w:rsid w:val="00E3595E"/>
    <w:rsid w:val="00EB635F"/>
    <w:rsid w:val="00ED7D7C"/>
    <w:rsid w:val="00F01FAE"/>
    <w:rsid w:val="00F8183B"/>
    <w:rsid w:val="00FA5FC1"/>
    <w:rsid w:val="02A6208A"/>
    <w:rsid w:val="03AD4F46"/>
    <w:rsid w:val="03F903E8"/>
    <w:rsid w:val="040A6059"/>
    <w:rsid w:val="044C5C91"/>
    <w:rsid w:val="06D27B45"/>
    <w:rsid w:val="07136F21"/>
    <w:rsid w:val="09451E80"/>
    <w:rsid w:val="099215DD"/>
    <w:rsid w:val="09DC19A3"/>
    <w:rsid w:val="09E069E0"/>
    <w:rsid w:val="0B5517FF"/>
    <w:rsid w:val="0B947424"/>
    <w:rsid w:val="0B972846"/>
    <w:rsid w:val="0B9C0B56"/>
    <w:rsid w:val="0BBB6D74"/>
    <w:rsid w:val="0C1E24BA"/>
    <w:rsid w:val="0C85710C"/>
    <w:rsid w:val="0CB32891"/>
    <w:rsid w:val="0CD43832"/>
    <w:rsid w:val="0CE20A75"/>
    <w:rsid w:val="0D4E2433"/>
    <w:rsid w:val="0E245DB5"/>
    <w:rsid w:val="0F2B21D1"/>
    <w:rsid w:val="10033E05"/>
    <w:rsid w:val="103310FF"/>
    <w:rsid w:val="10B615B1"/>
    <w:rsid w:val="1173458B"/>
    <w:rsid w:val="12A56387"/>
    <w:rsid w:val="12AD58FA"/>
    <w:rsid w:val="12D431CA"/>
    <w:rsid w:val="134E4D7B"/>
    <w:rsid w:val="13C97AB2"/>
    <w:rsid w:val="14692D4B"/>
    <w:rsid w:val="15183C46"/>
    <w:rsid w:val="1589624B"/>
    <w:rsid w:val="17125A2B"/>
    <w:rsid w:val="1747408E"/>
    <w:rsid w:val="17987ED6"/>
    <w:rsid w:val="17AD036A"/>
    <w:rsid w:val="17C07B85"/>
    <w:rsid w:val="1A3F6FDA"/>
    <w:rsid w:val="1A422262"/>
    <w:rsid w:val="1A644ACB"/>
    <w:rsid w:val="1B3E3158"/>
    <w:rsid w:val="1BBD054F"/>
    <w:rsid w:val="1BE44CD8"/>
    <w:rsid w:val="1EBC1E87"/>
    <w:rsid w:val="1EBE4CE7"/>
    <w:rsid w:val="1ED456D5"/>
    <w:rsid w:val="1EFB4DF0"/>
    <w:rsid w:val="1F107A0B"/>
    <w:rsid w:val="1F490FDE"/>
    <w:rsid w:val="1F4D7A5F"/>
    <w:rsid w:val="1FC47655"/>
    <w:rsid w:val="211F27A2"/>
    <w:rsid w:val="21E31DAC"/>
    <w:rsid w:val="220F2576"/>
    <w:rsid w:val="22341638"/>
    <w:rsid w:val="23C633D6"/>
    <w:rsid w:val="24871F79"/>
    <w:rsid w:val="24F102EF"/>
    <w:rsid w:val="256F1F2A"/>
    <w:rsid w:val="25EA1EE5"/>
    <w:rsid w:val="264F1406"/>
    <w:rsid w:val="26D133AD"/>
    <w:rsid w:val="27602533"/>
    <w:rsid w:val="276F6AA3"/>
    <w:rsid w:val="27A02CD7"/>
    <w:rsid w:val="283B51DE"/>
    <w:rsid w:val="286E2172"/>
    <w:rsid w:val="295343F4"/>
    <w:rsid w:val="298F59D8"/>
    <w:rsid w:val="29BA06E9"/>
    <w:rsid w:val="29D82F19"/>
    <w:rsid w:val="2A9E025F"/>
    <w:rsid w:val="2AA60373"/>
    <w:rsid w:val="2AAF3CF3"/>
    <w:rsid w:val="2B7F49F2"/>
    <w:rsid w:val="2B921CB8"/>
    <w:rsid w:val="2CBC41A6"/>
    <w:rsid w:val="2CC26F77"/>
    <w:rsid w:val="2CEC7851"/>
    <w:rsid w:val="2CFC4874"/>
    <w:rsid w:val="2D5A2D35"/>
    <w:rsid w:val="2DD07165"/>
    <w:rsid w:val="2EFC40D4"/>
    <w:rsid w:val="2F1561E6"/>
    <w:rsid w:val="2FD004EE"/>
    <w:rsid w:val="2FFB1718"/>
    <w:rsid w:val="30213B91"/>
    <w:rsid w:val="308E5759"/>
    <w:rsid w:val="312943A1"/>
    <w:rsid w:val="31B7353F"/>
    <w:rsid w:val="31ED20B3"/>
    <w:rsid w:val="32AA709A"/>
    <w:rsid w:val="33C92C70"/>
    <w:rsid w:val="33CB05F6"/>
    <w:rsid w:val="347539F9"/>
    <w:rsid w:val="351155A5"/>
    <w:rsid w:val="353C34F0"/>
    <w:rsid w:val="35EE6569"/>
    <w:rsid w:val="36FC067D"/>
    <w:rsid w:val="38E649E2"/>
    <w:rsid w:val="39C20B54"/>
    <w:rsid w:val="3A355F7C"/>
    <w:rsid w:val="3A6E421F"/>
    <w:rsid w:val="3A737EEC"/>
    <w:rsid w:val="3B3B6E0D"/>
    <w:rsid w:val="3B4F1036"/>
    <w:rsid w:val="3B981C9E"/>
    <w:rsid w:val="3BB21864"/>
    <w:rsid w:val="3BDF1A38"/>
    <w:rsid w:val="3BE4530F"/>
    <w:rsid w:val="3C6F3E3B"/>
    <w:rsid w:val="3CFD528C"/>
    <w:rsid w:val="3EB013AB"/>
    <w:rsid w:val="3F5D58F1"/>
    <w:rsid w:val="3FAF7EBF"/>
    <w:rsid w:val="3FCC6897"/>
    <w:rsid w:val="40D13944"/>
    <w:rsid w:val="4221748A"/>
    <w:rsid w:val="423D466F"/>
    <w:rsid w:val="428B4359"/>
    <w:rsid w:val="43207D0A"/>
    <w:rsid w:val="43631EE8"/>
    <w:rsid w:val="43B35BE1"/>
    <w:rsid w:val="43CB3901"/>
    <w:rsid w:val="443E1BD5"/>
    <w:rsid w:val="451A11C3"/>
    <w:rsid w:val="453B3109"/>
    <w:rsid w:val="456C7660"/>
    <w:rsid w:val="45B349FB"/>
    <w:rsid w:val="46BD5C01"/>
    <w:rsid w:val="47066E73"/>
    <w:rsid w:val="473000FD"/>
    <w:rsid w:val="47B45F3C"/>
    <w:rsid w:val="48053C34"/>
    <w:rsid w:val="48123E79"/>
    <w:rsid w:val="497C22B2"/>
    <w:rsid w:val="4A1417AA"/>
    <w:rsid w:val="4A5D7320"/>
    <w:rsid w:val="4B5D2B2A"/>
    <w:rsid w:val="4CD36D03"/>
    <w:rsid w:val="4CD73D60"/>
    <w:rsid w:val="4D342AC5"/>
    <w:rsid w:val="4D694DA4"/>
    <w:rsid w:val="4D6B42BE"/>
    <w:rsid w:val="4DCA136A"/>
    <w:rsid w:val="4ECF6BCC"/>
    <w:rsid w:val="508B38AC"/>
    <w:rsid w:val="50F53BA8"/>
    <w:rsid w:val="51F11F6A"/>
    <w:rsid w:val="5229107C"/>
    <w:rsid w:val="527349B4"/>
    <w:rsid w:val="53572425"/>
    <w:rsid w:val="549A08F7"/>
    <w:rsid w:val="55470037"/>
    <w:rsid w:val="55A236BA"/>
    <w:rsid w:val="55CD0E83"/>
    <w:rsid w:val="567B53FF"/>
    <w:rsid w:val="57A73D22"/>
    <w:rsid w:val="58987D0A"/>
    <w:rsid w:val="592839E3"/>
    <w:rsid w:val="59455451"/>
    <w:rsid w:val="598F6A85"/>
    <w:rsid w:val="5AB77DD7"/>
    <w:rsid w:val="5BAE76FF"/>
    <w:rsid w:val="5BBE76F4"/>
    <w:rsid w:val="5BE91279"/>
    <w:rsid w:val="5CA01AB6"/>
    <w:rsid w:val="5EBD399D"/>
    <w:rsid w:val="5F4212D9"/>
    <w:rsid w:val="5FB04F89"/>
    <w:rsid w:val="600E1E6F"/>
    <w:rsid w:val="61A67C9A"/>
    <w:rsid w:val="621C1ADB"/>
    <w:rsid w:val="621C3A13"/>
    <w:rsid w:val="625C2BFE"/>
    <w:rsid w:val="625C3E83"/>
    <w:rsid w:val="63620E0E"/>
    <w:rsid w:val="63B86D94"/>
    <w:rsid w:val="63DC30DC"/>
    <w:rsid w:val="643B7D84"/>
    <w:rsid w:val="65822F4C"/>
    <w:rsid w:val="65E71F28"/>
    <w:rsid w:val="666F3498"/>
    <w:rsid w:val="66A23BB0"/>
    <w:rsid w:val="66AD7815"/>
    <w:rsid w:val="67D853AC"/>
    <w:rsid w:val="68A70936"/>
    <w:rsid w:val="69264FE4"/>
    <w:rsid w:val="69445670"/>
    <w:rsid w:val="69520885"/>
    <w:rsid w:val="69E132A1"/>
    <w:rsid w:val="6CD66CA4"/>
    <w:rsid w:val="6D5710EB"/>
    <w:rsid w:val="6EEF41B0"/>
    <w:rsid w:val="6F772A31"/>
    <w:rsid w:val="6F904D6D"/>
    <w:rsid w:val="70274708"/>
    <w:rsid w:val="71723ECA"/>
    <w:rsid w:val="71CC141B"/>
    <w:rsid w:val="72F93BFA"/>
    <w:rsid w:val="730F7E05"/>
    <w:rsid w:val="73536E8D"/>
    <w:rsid w:val="73935E33"/>
    <w:rsid w:val="74B74C17"/>
    <w:rsid w:val="754679FD"/>
    <w:rsid w:val="7547692F"/>
    <w:rsid w:val="76BB6642"/>
    <w:rsid w:val="773D0CC8"/>
    <w:rsid w:val="77E45344"/>
    <w:rsid w:val="77F95CBE"/>
    <w:rsid w:val="7812538D"/>
    <w:rsid w:val="79DA24A9"/>
    <w:rsid w:val="7A255AF3"/>
    <w:rsid w:val="7A5A6AA7"/>
    <w:rsid w:val="7A7E636C"/>
    <w:rsid w:val="7BF939F1"/>
    <w:rsid w:val="7C157AF8"/>
    <w:rsid w:val="7C5652B8"/>
    <w:rsid w:val="7C8E2DE4"/>
    <w:rsid w:val="7E4E3F93"/>
    <w:rsid w:val="7E510DCF"/>
    <w:rsid w:val="7EB413CA"/>
    <w:rsid w:val="7FB9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540" w:lineRule="exact"/>
      <w:ind w:firstLine="643" w:firstLineChars="200"/>
    </w:pPr>
    <w:rPr>
      <w:rFonts w:ascii="Times New Roman" w:hAnsi="Times New Roman" w:eastAsia="仿宋_GB2312" w:cs="Times New Roman"/>
      <w:b/>
      <w:bCs/>
      <w:sz w:val="32"/>
      <w:szCs w:val="24"/>
    </w:rPr>
  </w:style>
  <w:style w:type="paragraph" w:styleId="3">
    <w:name w:val="Body Text Indent 2"/>
    <w:basedOn w:val="1"/>
    <w:semiHidden/>
    <w:unhideWhenUsed/>
    <w:qFormat/>
    <w:uiPriority w:val="99"/>
    <w:pPr>
      <w:spacing w:line="580" w:lineRule="exact"/>
      <w:ind w:firstLine="640" w:firstLineChars="200"/>
    </w:pPr>
    <w:rPr>
      <w:rFonts w:ascii="仿宋_GB2312" w:eastAsia="仿宋_GB2312"/>
      <w:sz w:val="32"/>
    </w:rPr>
  </w:style>
  <w:style w:type="paragraph" w:styleId="4">
    <w:name w:val="Balloon Text"/>
    <w:basedOn w:val="1"/>
    <w:link w:val="13"/>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font11"/>
    <w:basedOn w:val="8"/>
    <w:qFormat/>
    <w:uiPriority w:val="0"/>
    <w:rPr>
      <w:rFonts w:hint="default" w:ascii="Times New Roman" w:hAnsi="Times New Roman" w:cs="Times New Roman"/>
      <w:color w:val="000000"/>
      <w:sz w:val="20"/>
      <w:szCs w:val="20"/>
      <w:u w:val="none"/>
    </w:rPr>
  </w:style>
  <w:style w:type="character" w:customStyle="1" w:styleId="12">
    <w:name w:val="正文文本缩进 Char"/>
    <w:basedOn w:val="8"/>
    <w:link w:val="2"/>
    <w:qFormat/>
    <w:uiPriority w:val="0"/>
    <w:rPr>
      <w:rFonts w:ascii="Times New Roman" w:hAnsi="Times New Roman" w:eastAsia="仿宋_GB2312" w:cs="Times New Roman"/>
      <w:b/>
      <w:bCs/>
      <w:sz w:val="32"/>
      <w:szCs w:val="24"/>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2FC99-DA88-4E69-B347-BDDA30D7394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4622</Words>
  <Characters>4837</Characters>
  <Lines>42</Lines>
  <Paragraphs>12</Paragraphs>
  <TotalTime>14</TotalTime>
  <ScaleCrop>false</ScaleCrop>
  <LinksUpToDate>false</LinksUpToDate>
  <CharactersWithSpaces>4886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2017-11-20T01:05:00Z</dcterms:created>
  <dc:creator>Sky123.Org</dc:creator>
  <cp:lastModifiedBy>WPS_1665536116</cp:lastModifiedBy>
  <cp:lastPrinted>2023-12-15T06:38:00Z</cp:lastPrinted>
  <dcterms:modified xsi:type="dcterms:W3CDTF">2023-12-15T08:43:06Z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C41C1A08E972450F9A134D24BCA5E2BF_13</vt:lpwstr>
  </property>
</Properties>
</file>