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4</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2</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4006号地块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731" w:type="dxa"/>
        <w:jc w:val="center"/>
        <w:tblLayout w:type="fixed"/>
        <w:tblCellMar>
          <w:top w:w="0" w:type="dxa"/>
          <w:left w:w="0" w:type="dxa"/>
          <w:bottom w:w="0" w:type="dxa"/>
          <w:right w:w="0" w:type="dxa"/>
        </w:tblCellMar>
      </w:tblPr>
      <w:tblGrid>
        <w:gridCol w:w="771"/>
        <w:gridCol w:w="1686"/>
        <w:gridCol w:w="885"/>
        <w:gridCol w:w="929"/>
        <w:gridCol w:w="795"/>
        <w:gridCol w:w="793"/>
        <w:gridCol w:w="641"/>
        <w:gridCol w:w="670"/>
        <w:gridCol w:w="1059"/>
        <w:gridCol w:w="730"/>
        <w:gridCol w:w="772"/>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6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79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10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77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G24006</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金牛镇玻纤厂地块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13400.1</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13400.1</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≤2.0（商业≤8%）</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≥35%</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190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950</w:t>
            </w:r>
          </w:p>
        </w:tc>
      </w:tr>
      <w:tr>
        <w:tblPrEx>
          <w:tblCellMar>
            <w:top w:w="0" w:type="dxa"/>
            <w:left w:w="0" w:type="dxa"/>
            <w:bottom w:w="0" w:type="dxa"/>
            <w:right w:w="0" w:type="dxa"/>
          </w:tblCellMar>
        </w:tblPrEx>
        <w:trPr>
          <w:cantSplit/>
          <w:trHeight w:val="555" w:hRule="atLeast"/>
          <w:jc w:val="center"/>
        </w:trPr>
        <w:tc>
          <w:tcPr>
            <w:tcW w:w="973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w:t>
            </w:r>
            <w:r>
              <w:rPr>
                <w:rFonts w:hint="eastAsia" w:ascii="仿宋" w:hAnsi="仿宋" w:eastAsia="仿宋" w:cs="仿宋"/>
                <w:color w:val="auto"/>
                <w:sz w:val="18"/>
                <w:szCs w:val="18"/>
                <w:lang w:val="en-US" w:eastAsia="zh-CN"/>
              </w:rPr>
              <w:t>G24006≤26800㎡</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ascii="仿宋" w:hAnsi="仿宋" w:eastAsia="仿宋"/>
          <w:color w:val="auto"/>
          <w:sz w:val="32"/>
        </w:rPr>
        <w:t xml:space="preserve"> </w:t>
      </w:r>
      <w:r>
        <w:rPr>
          <w:rFonts w:hint="eastAsia" w:eastAsia="仿宋_GB2312"/>
          <w:sz w:val="32"/>
        </w:rPr>
        <w:t>四、特别约定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eastAsia="zh-CN"/>
        </w:rPr>
        <w:t>（</w:t>
      </w:r>
      <w:r>
        <w:rPr>
          <w:rFonts w:hint="eastAsia" w:eastAsia="仿宋_GB2312"/>
          <w:sz w:val="32"/>
          <w:lang w:val="en-US" w:eastAsia="zh-CN"/>
        </w:rPr>
        <w:t>一</w:t>
      </w:r>
      <w:r>
        <w:rPr>
          <w:rFonts w:hint="eastAsia" w:eastAsia="仿宋_GB2312"/>
          <w:sz w:val="32"/>
          <w:lang w:eastAsia="zh-CN"/>
        </w:rPr>
        <w:t>）</w:t>
      </w:r>
      <w:r>
        <w:rPr>
          <w:rFonts w:hint="eastAsia" w:eastAsia="仿宋_GB2312"/>
          <w:sz w:val="32"/>
        </w:rPr>
        <w:t>土地开发程度：</w:t>
      </w:r>
      <w:r>
        <w:rPr>
          <w:rFonts w:hint="eastAsia" w:eastAsia="仿宋_GB2312"/>
          <w:sz w:val="32"/>
          <w:lang w:val="en-US" w:eastAsia="zh-CN"/>
        </w:rPr>
        <w:t>上述G24006号</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二</w:t>
      </w:r>
      <w:r>
        <w:rPr>
          <w:rFonts w:hint="eastAsia" w:eastAsia="仿宋_GB2312"/>
          <w:sz w:val="32"/>
        </w:rPr>
        <w:t>）上述宗地挂牌出让成交后，竞得人应在成交之日起30日内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三</w:t>
      </w:r>
      <w:r>
        <w:rPr>
          <w:rFonts w:hint="eastAsia" w:eastAsia="仿宋_GB2312"/>
          <w:sz w:val="32"/>
        </w:rPr>
        <w:t>）上述宗地以现状挂牌出让，实际勘测交付面积与挂牌出让文件标明的出让面积差异率在1%以内的，面积差异不影响成交价格。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2024年4月26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（七）竞买人保证金必须从单位账户汇出，在网上交易系统点击“申购”,通过交易系统在2024年4月26日17时00分前,一次性足额将竞买保证金汇入我中心指定的保证金账户。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挂牌时间为10日，具体如下：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1、挂牌起始时间：2024年4月18日上午10时；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2、挂牌截止时间：2024年4月28日上午10时。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十一、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（一）G24006号地块为</w:t>
      </w:r>
      <w:r>
        <w:rPr>
          <w:rFonts w:hint="eastAsia" w:eastAsia="仿宋_GB2312"/>
          <w:sz w:val="32"/>
        </w:rPr>
        <w:t>人民币大写</w:t>
      </w:r>
      <w:r>
        <w:rPr>
          <w:rFonts w:hint="eastAsia" w:eastAsia="仿宋_GB2312"/>
          <w:sz w:val="32"/>
          <w:lang w:val="en-US" w:eastAsia="zh-CN"/>
        </w:rPr>
        <w:t>壹佰玖拾万元整（</w:t>
      </w:r>
      <w:r>
        <w:rPr>
          <w:rFonts w:hint="eastAsia" w:eastAsia="仿宋_GB2312"/>
          <w:sz w:val="32"/>
        </w:rPr>
        <w:t>￥</w:t>
      </w:r>
      <w:r>
        <w:rPr>
          <w:rFonts w:hint="eastAsia" w:eastAsia="仿宋_GB2312"/>
          <w:sz w:val="32"/>
          <w:lang w:eastAsia="zh-CN"/>
        </w:rPr>
        <w:t>：</w:t>
      </w:r>
      <w:r>
        <w:rPr>
          <w:rFonts w:hint="eastAsia" w:eastAsia="仿宋_GB2312"/>
          <w:sz w:val="32"/>
          <w:lang w:val="en-US" w:eastAsia="zh-CN"/>
        </w:rPr>
        <w:t>190</w:t>
      </w:r>
      <w:r>
        <w:rPr>
          <w:rFonts w:hint="eastAsia" w:eastAsia="仿宋_GB2312"/>
          <w:sz w:val="32"/>
        </w:rPr>
        <w:t>0000.00</w:t>
      </w:r>
      <w:r>
        <w:rPr>
          <w:rFonts w:hint="eastAsia"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G24006</w:t>
      </w:r>
      <w:r>
        <w:rPr>
          <w:rFonts w:hint="eastAsia" w:eastAsia="仿宋_GB2312"/>
          <w:sz w:val="32"/>
        </w:rPr>
        <w:t>号地块：出让起始价为人民币大写</w:t>
      </w:r>
      <w:r>
        <w:rPr>
          <w:rFonts w:hint="eastAsia" w:eastAsia="仿宋_GB2312"/>
          <w:sz w:val="32"/>
          <w:lang w:val="en-US" w:eastAsia="zh-CN"/>
        </w:rPr>
        <w:t>玖佰伍拾</w:t>
      </w:r>
      <w:r>
        <w:rPr>
          <w:rFonts w:hint="eastAsia" w:eastAsia="仿宋_GB2312"/>
          <w:sz w:val="32"/>
        </w:rPr>
        <w:t>万元整（￥</w:t>
      </w:r>
      <w:r>
        <w:rPr>
          <w:rFonts w:hint="eastAsia" w:eastAsia="仿宋_GB2312"/>
          <w:sz w:val="32"/>
          <w:lang w:val="en-US" w:eastAsia="zh-CN"/>
        </w:rPr>
        <w:t>9500</w:t>
      </w:r>
      <w:r>
        <w:rPr>
          <w:rFonts w:hint="eastAsia" w:eastAsia="仿宋_GB2312"/>
          <w:sz w:val="32"/>
        </w:rPr>
        <w:t>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bookmarkStart w:id="0" w:name="_GoBack"/>
      <w:bookmarkEnd w:id="0"/>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2024年3月29日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zIwOTA2MDQyYmUyOGZkNDJhMzNiZDQ2ODljMTM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7136F21"/>
    <w:rsid w:val="09451E80"/>
    <w:rsid w:val="099215DD"/>
    <w:rsid w:val="09DC19A3"/>
    <w:rsid w:val="09E069E0"/>
    <w:rsid w:val="0B5517FF"/>
    <w:rsid w:val="0B947424"/>
    <w:rsid w:val="0B972846"/>
    <w:rsid w:val="0B9C0B56"/>
    <w:rsid w:val="0BBB6D74"/>
    <w:rsid w:val="0C1E24BA"/>
    <w:rsid w:val="0C85710C"/>
    <w:rsid w:val="0CB32891"/>
    <w:rsid w:val="0CD43832"/>
    <w:rsid w:val="0CE20A75"/>
    <w:rsid w:val="0D0237E6"/>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422262"/>
    <w:rsid w:val="1A644ACB"/>
    <w:rsid w:val="1B3E3158"/>
    <w:rsid w:val="1BBD054F"/>
    <w:rsid w:val="1BE44CD8"/>
    <w:rsid w:val="1D8115EF"/>
    <w:rsid w:val="1EBC1E87"/>
    <w:rsid w:val="1EBE4CE7"/>
    <w:rsid w:val="1ED456D5"/>
    <w:rsid w:val="1EFB4DF0"/>
    <w:rsid w:val="1F107A0B"/>
    <w:rsid w:val="1F490FDE"/>
    <w:rsid w:val="1F4D7A5F"/>
    <w:rsid w:val="1F7B1B2B"/>
    <w:rsid w:val="1FC47655"/>
    <w:rsid w:val="211F27A2"/>
    <w:rsid w:val="21E31DAC"/>
    <w:rsid w:val="220F2576"/>
    <w:rsid w:val="22341638"/>
    <w:rsid w:val="23C633D6"/>
    <w:rsid w:val="24871F79"/>
    <w:rsid w:val="24F102EF"/>
    <w:rsid w:val="256F1F2A"/>
    <w:rsid w:val="25EA1EE5"/>
    <w:rsid w:val="264F1406"/>
    <w:rsid w:val="26D133AD"/>
    <w:rsid w:val="27602533"/>
    <w:rsid w:val="276F6AA3"/>
    <w:rsid w:val="27A02CD7"/>
    <w:rsid w:val="283B51DE"/>
    <w:rsid w:val="286E2172"/>
    <w:rsid w:val="295343F4"/>
    <w:rsid w:val="298F59D8"/>
    <w:rsid w:val="29BA06E9"/>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2B03CCC"/>
    <w:rsid w:val="43207D0A"/>
    <w:rsid w:val="43631EE8"/>
    <w:rsid w:val="43B35BE1"/>
    <w:rsid w:val="43CB3901"/>
    <w:rsid w:val="443E1BD5"/>
    <w:rsid w:val="451A11C3"/>
    <w:rsid w:val="453B3109"/>
    <w:rsid w:val="456C7660"/>
    <w:rsid w:val="45B349FB"/>
    <w:rsid w:val="46BD5C01"/>
    <w:rsid w:val="47066E73"/>
    <w:rsid w:val="473000FD"/>
    <w:rsid w:val="47697F3B"/>
    <w:rsid w:val="47B45F3C"/>
    <w:rsid w:val="48053C34"/>
    <w:rsid w:val="48123E79"/>
    <w:rsid w:val="497C22B2"/>
    <w:rsid w:val="4A1417AA"/>
    <w:rsid w:val="4A5D7320"/>
    <w:rsid w:val="4B5D2B2A"/>
    <w:rsid w:val="4CD36D03"/>
    <w:rsid w:val="4CD73D60"/>
    <w:rsid w:val="4D342AC5"/>
    <w:rsid w:val="4D694DA4"/>
    <w:rsid w:val="4D6B42BE"/>
    <w:rsid w:val="4DCA136A"/>
    <w:rsid w:val="4ECF6BCC"/>
    <w:rsid w:val="508B38AC"/>
    <w:rsid w:val="50F53BA8"/>
    <w:rsid w:val="51F11F6A"/>
    <w:rsid w:val="5229107C"/>
    <w:rsid w:val="527349B4"/>
    <w:rsid w:val="52E10274"/>
    <w:rsid w:val="53572425"/>
    <w:rsid w:val="549A08F7"/>
    <w:rsid w:val="55470037"/>
    <w:rsid w:val="55A236BA"/>
    <w:rsid w:val="55CD0E83"/>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25C3E83"/>
    <w:rsid w:val="63620E0E"/>
    <w:rsid w:val="63B86D94"/>
    <w:rsid w:val="63DC30DC"/>
    <w:rsid w:val="643B7D84"/>
    <w:rsid w:val="65822F4C"/>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536E8D"/>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AC5749"/>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autoRedefine/>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autoRedefine/>
    <w:unhideWhenUsed/>
    <w:qFormat/>
    <w:uiPriority w:val="99"/>
    <w:rPr>
      <w:sz w:val="18"/>
      <w:szCs w:val="18"/>
    </w:r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autoRedefine/>
    <w:qFormat/>
    <w:uiPriority w:val="99"/>
    <w:rPr>
      <w:sz w:val="18"/>
      <w:szCs w:val="18"/>
    </w:rPr>
  </w:style>
  <w:style w:type="character" w:customStyle="1" w:styleId="10">
    <w:name w:val="页脚 Char"/>
    <w:basedOn w:val="8"/>
    <w:link w:val="5"/>
    <w:autoRedefine/>
    <w:qFormat/>
    <w:uiPriority w:val="99"/>
    <w:rPr>
      <w:sz w:val="18"/>
      <w:szCs w:val="18"/>
    </w:rPr>
  </w:style>
  <w:style w:type="character" w:customStyle="1" w:styleId="11">
    <w:name w:val="font11"/>
    <w:basedOn w:val="8"/>
    <w:autoRedefine/>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autoRedefine/>
    <w:qFormat/>
    <w:uiPriority w:val="0"/>
    <w:rPr>
      <w:rFonts w:ascii="Times New Roman" w:hAnsi="Times New Roman" w:eastAsia="仿宋_GB2312" w:cs="Times New Roman"/>
      <w:b/>
      <w:bCs/>
      <w:sz w:val="32"/>
      <w:szCs w:val="24"/>
    </w:rPr>
  </w:style>
  <w:style w:type="character" w:customStyle="1" w:styleId="13">
    <w:name w:val="批注框文本 Char"/>
    <w:basedOn w:val="8"/>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2</TotalTime>
  <ScaleCrop>false</ScaleCrop>
  <LinksUpToDate>false</LinksUpToDate>
  <CharactersWithSpaces>4886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2024-02-22T01:53:00Z</cp:lastPrinted>
  <dcterms:modified xsi:type="dcterms:W3CDTF">2024-03-28T09:00:21Z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C41C1A08E972450F9A134D24BCA5E2BF_13</vt:lpwstr>
  </property>
</Properties>
</file>