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6</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25033号地块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0C40097F">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DB864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2F0147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00FE1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1F0474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7768280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DC3C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F6FD62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63C39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741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919C37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23A8E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6B03E1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EAD357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9E1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EB1B2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EFD07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8AD4EDC">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AC90575">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2263AB20">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4CAE34A">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7887913A">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0D4B0A8">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0434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17D031">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FAEDBB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C0F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77ABC4">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B75EBC9">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4D263501">
            <w:pPr>
              <w:widowControl/>
              <w:spacing w:line="220" w:lineRule="exact"/>
              <w:jc w:val="center"/>
              <w:rPr>
                <w:rFonts w:hint="eastAsia" w:ascii="仿宋" w:hAnsi="仿宋" w:eastAsia="仿宋" w:cs="仿宋"/>
                <w:color w:val="auto"/>
                <w:sz w:val="18"/>
                <w:szCs w:val="18"/>
              </w:rPr>
            </w:pPr>
          </w:p>
        </w:tc>
      </w:tr>
      <w:tr w14:paraId="63DC9F3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E41AB61">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G25033</w:t>
            </w:r>
          </w:p>
        </w:tc>
        <w:tc>
          <w:tcPr>
            <w:tcW w:w="1686" w:type="dxa"/>
            <w:tcBorders>
              <w:top w:val="single" w:color="auto" w:sz="4" w:space="0"/>
              <w:left w:val="single" w:color="auto" w:sz="4" w:space="0"/>
              <w:bottom w:val="single" w:color="auto" w:sz="4" w:space="0"/>
              <w:right w:val="single" w:color="auto" w:sz="4" w:space="0"/>
            </w:tcBorders>
            <w:vAlign w:val="center"/>
          </w:tcPr>
          <w:p w14:paraId="208B2DB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高铁大道东侧、大棋路南侧地块</w:t>
            </w:r>
          </w:p>
        </w:tc>
        <w:tc>
          <w:tcPr>
            <w:tcW w:w="885" w:type="dxa"/>
            <w:tcBorders>
              <w:top w:val="single" w:color="auto" w:sz="4" w:space="0"/>
              <w:left w:val="single" w:color="auto" w:sz="4" w:space="0"/>
              <w:bottom w:val="single" w:color="auto" w:sz="4" w:space="0"/>
              <w:right w:val="single" w:color="auto" w:sz="4" w:space="0"/>
            </w:tcBorders>
            <w:vAlign w:val="center"/>
          </w:tcPr>
          <w:p w14:paraId="76459EE8">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10868.40</w:t>
            </w:r>
          </w:p>
        </w:tc>
        <w:tc>
          <w:tcPr>
            <w:tcW w:w="929" w:type="dxa"/>
            <w:tcBorders>
              <w:top w:val="single" w:color="auto" w:sz="4" w:space="0"/>
              <w:left w:val="single" w:color="auto" w:sz="4" w:space="0"/>
              <w:bottom w:val="single" w:color="auto" w:sz="4" w:space="0"/>
              <w:right w:val="single" w:color="auto" w:sz="4" w:space="0"/>
            </w:tcBorders>
            <w:vAlign w:val="center"/>
          </w:tcPr>
          <w:p w14:paraId="181CA64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6904.22</w:t>
            </w:r>
          </w:p>
        </w:tc>
        <w:tc>
          <w:tcPr>
            <w:tcW w:w="795" w:type="dxa"/>
            <w:tcBorders>
              <w:top w:val="single" w:color="auto" w:sz="4" w:space="0"/>
              <w:left w:val="single" w:color="auto" w:sz="4" w:space="0"/>
              <w:bottom w:val="single" w:color="auto" w:sz="4" w:space="0"/>
              <w:right w:val="single" w:color="auto" w:sz="4" w:space="0"/>
            </w:tcBorders>
            <w:vAlign w:val="center"/>
          </w:tcPr>
          <w:p w14:paraId="6F3CAA5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38E619">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≤1.5</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75AC54">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≤65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62DA20">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2F079C8">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7A8A524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665</w:t>
            </w:r>
          </w:p>
        </w:tc>
        <w:tc>
          <w:tcPr>
            <w:tcW w:w="772" w:type="dxa"/>
            <w:tcBorders>
              <w:top w:val="single" w:color="auto" w:sz="4" w:space="0"/>
              <w:left w:val="single" w:color="auto" w:sz="4" w:space="0"/>
              <w:bottom w:val="single" w:color="auto" w:sz="4" w:space="0"/>
              <w:right w:val="single" w:color="auto" w:sz="4" w:space="0"/>
            </w:tcBorders>
            <w:vAlign w:val="center"/>
          </w:tcPr>
          <w:p w14:paraId="4A32AA3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1330</w:t>
            </w:r>
          </w:p>
        </w:tc>
      </w:tr>
      <w:tr w14:paraId="703C680D">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325D35D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highlight w:val="none"/>
                <w:lang w:val="en-US" w:eastAsia="zh-CN"/>
              </w:rPr>
              <w:t>G25033≤10356㎡</w:t>
            </w:r>
            <w:r>
              <w:rPr>
                <w:rFonts w:hint="eastAsia" w:ascii="仿宋" w:hAnsi="仿宋" w:eastAsia="仿宋" w:cs="仿宋"/>
                <w:color w:val="auto"/>
                <w:sz w:val="18"/>
                <w:szCs w:val="18"/>
                <w:highlight w:val="none"/>
                <w:lang w:eastAsia="zh-CN"/>
              </w:rPr>
              <w:t>。</w:t>
            </w:r>
          </w:p>
        </w:tc>
      </w:tr>
    </w:tbl>
    <w:p w14:paraId="02EDC79A">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3E882A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7B91FE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3CA5C4E8">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450B6026">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1D45963">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4FAE9DA">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9月19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（七）竞买人保证金必须从单位账户汇出，在网上交易系统点击“申购”,通过交易系统在2025年9月19日17时00分前,一次性足额将竞买保证金汇入我中心指定的保证金账户。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挂牌时间为13日，具体如下：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1、挂牌起始时间：2024年9月10日上午10时；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2、挂牌截止时间：2025年9月23日上午10时。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7045B2B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cs="Times New Roman"/>
          <w:b w:val="0"/>
          <w:bCs w:val="0"/>
          <w:color w:val="auto"/>
          <w:kern w:val="2"/>
          <w:sz w:val="32"/>
          <w:szCs w:val="32"/>
          <w:lang w:val="en-US" w:eastAsia="zh-CN" w:bidi="ar-SA"/>
        </w:rPr>
        <w:t>上述</w:t>
      </w:r>
      <w:r>
        <w:rPr>
          <w:rFonts w:hint="eastAsia" w:ascii="仿宋" w:hAnsi="仿宋" w:eastAsia="仿宋"/>
          <w:sz w:val="32"/>
        </w:rPr>
        <w:t>宗地的竞买保证金为：</w:t>
      </w:r>
    </w:p>
    <w:p w14:paraId="41330BC4">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G25033号地块为</w:t>
      </w:r>
      <w:r>
        <w:rPr>
          <w:rFonts w:hint="eastAsia" w:ascii="仿宋" w:hAnsi="仿宋" w:eastAsia="仿宋"/>
          <w:sz w:val="32"/>
          <w:szCs w:val="44"/>
        </w:rPr>
        <w:t>人民币大写陆佰陆拾伍</w:t>
      </w:r>
      <w:r>
        <w:rPr>
          <w:rFonts w:hint="eastAsia" w:ascii="仿宋" w:hAnsi="仿宋" w:eastAsia="仿宋"/>
          <w:sz w:val="32"/>
          <w:szCs w:val="44"/>
          <w:lang w:val="en-US" w:eastAsia="zh-CN"/>
        </w:rPr>
        <w:t>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665</w:t>
      </w:r>
      <w:r>
        <w:rPr>
          <w:rFonts w:ascii="仿宋" w:hAnsi="仿宋" w:eastAsia="仿宋"/>
          <w:sz w:val="32"/>
          <w:szCs w:val="44"/>
        </w:rPr>
        <w:t>0000.00</w:t>
      </w:r>
      <w:r>
        <w:rPr>
          <w:rFonts w:hint="eastAsia" w:ascii="仿宋" w:hAnsi="仿宋" w:eastAsia="仿宋"/>
          <w:sz w:val="32"/>
          <w:szCs w:val="44"/>
          <w:lang w:val="en-US" w:eastAsia="zh-CN"/>
        </w:rPr>
        <w:t>）。</w:t>
      </w:r>
    </w:p>
    <w:p w14:paraId="006C1B2D">
      <w:pPr>
        <w:numPr>
          <w:ilvl w:val="0"/>
          <w:numId w:val="0"/>
        </w:num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cs="Times New Roman"/>
          <w:b w:val="0"/>
          <w:bCs w:val="0"/>
          <w:color w:val="auto"/>
          <w:kern w:val="2"/>
          <w:sz w:val="32"/>
          <w:szCs w:val="32"/>
          <w:lang w:val="en-US" w:eastAsia="zh-CN" w:bidi="ar-SA"/>
        </w:rPr>
        <w:t>上述</w:t>
      </w:r>
      <w:r>
        <w:rPr>
          <w:rFonts w:hint="eastAsia" w:ascii="仿宋" w:hAnsi="仿宋" w:eastAsia="仿宋"/>
          <w:sz w:val="32"/>
        </w:rPr>
        <w:t>宗地的出让起始价、增价幅度</w:t>
      </w:r>
      <w:r>
        <w:rPr>
          <w:rFonts w:ascii="仿宋" w:hAnsi="仿宋" w:eastAsia="仿宋"/>
          <w:sz w:val="32"/>
        </w:rPr>
        <w:t xml:space="preserve"> </w:t>
      </w:r>
    </w:p>
    <w:p w14:paraId="2797CC57">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G25033</w:t>
      </w:r>
      <w:r>
        <w:rPr>
          <w:rFonts w:hint="eastAsia" w:ascii="仿宋" w:hAnsi="仿宋" w:eastAsia="仿宋"/>
          <w:sz w:val="32"/>
        </w:rPr>
        <w:t>号地块：出让起始价为人民币大写壹仟叁佰叁拾万元整（￥</w:t>
      </w:r>
      <w:r>
        <w:rPr>
          <w:rFonts w:hint="eastAsia" w:ascii="仿宋" w:hAnsi="仿宋" w:eastAsia="仿宋"/>
          <w:sz w:val="32"/>
          <w:lang w:val="en-US" w:eastAsia="zh-CN"/>
        </w:rPr>
        <w:t>13300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w:t>
      </w:r>
      <w:bookmarkStart w:id="0" w:name="_GoBack"/>
      <w:bookmarkEnd w:id="0"/>
      <w:r>
        <w:rPr>
          <w:rFonts w:hint="eastAsia" w:eastAsia="仿宋_GB2312"/>
          <w:sz w:val="32"/>
          <w:lang w:val="en-US" w:eastAsia="zh-CN"/>
        </w:rPr>
        <w:t>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2025年8月21日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4650</Words>
  <Characters>4859</Characters>
  <Lines>42</Lines>
  <Paragraphs>12</Paragraphs>
  <TotalTime>5</TotalTime>
  <ScaleCrop>false</ScaleCrop>
  <LinksUpToDate>false</LinksUpToDate>
  <CharactersWithSpaces>4890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2025-07-10T09:13:00Z</cp:lastPrinted>
  <dcterms:modified xsi:type="dcterms:W3CDTF">2025-08-20T06:42:19Z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