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19F6760A">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6</w:t>
      </w:r>
      <w:r>
        <w:rPr>
          <w:rFonts w:hint="eastAsia" w:ascii="黑体" w:hAnsi="宋体" w:eastAsia="黑体" w:cs="Times New Roman"/>
          <w:sz w:val="32"/>
          <w:szCs w:val="32"/>
        </w:rPr>
        <w:t>期国有建设用地使用权挂牌出让公告</w:t>
      </w:r>
    </w:p>
    <w:p w14:paraId="4B206CF8">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Times New Roman"/>
          <w:sz w:val="32"/>
          <w:szCs w:val="44"/>
        </w:rPr>
        <w:t>号</w:t>
      </w:r>
    </w:p>
    <w:p w14:paraId="1B622462">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397F2ACB">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w:t>
      </w:r>
      <w:r>
        <w:rPr>
          <w:rFonts w:hint="eastAsia" w:ascii="仿宋" w:hAnsi="仿宋" w:eastAsia="仿宋" w:cs="仿宋"/>
          <w:sz w:val="32"/>
          <w:szCs w:val="32"/>
          <w:lang w:val="en-US" w:eastAsia="zh-CN"/>
        </w:rPr>
        <w:t>25106</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6CDAF813">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674" w:tblpY="998"/>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383A63F4">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4984C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59AD4D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B4F36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E6895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3010928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59D3A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FB76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2621E4A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B52DB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6260E0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4C6FB46">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2A677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E6245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1EE156D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40B16F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6A711DB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4E58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1C954A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7AAA4C6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092514DF">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20FA29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297ABC5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18E448A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45A71AA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7D97A7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53DCB0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E22514">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6AFA49E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BDE37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C63A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621CA2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5169580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44F3FF2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2AC2452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4392393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7A7852B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3935B4CB">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0816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417D0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A0F8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33988.6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E30C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29315.81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17CA38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FF423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8E208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D6DF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C4D0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0B3EB57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59BCC5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CF63F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1E4FA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320.2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1F19C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1601</w:t>
            </w:r>
          </w:p>
        </w:tc>
      </w:tr>
      <w:tr w14:paraId="2978DFA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0A47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D66DDB">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96DF1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12551.37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F9C15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10694.24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43B79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3682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7ED55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3A6B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A3744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4A1E305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6F2556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DBE61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DB9776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116.8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5EFD2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584</w:t>
            </w:r>
          </w:p>
        </w:tc>
      </w:tr>
      <w:tr w14:paraId="7EB57C8F">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52646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ascii="宋体" w:hAnsi="宋体" w:eastAsia="宋体" w:cs="Times New Roman"/>
                <w:kern w:val="2"/>
                <w:sz w:val="18"/>
                <w:szCs w:val="18"/>
                <w:lang w:val="en-US" w:eastAsia="zh-CN" w:bidi="ar-SA"/>
              </w:rPr>
              <w:t>G25106、G25107号地块根据规划条件要求执行。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E58769D">
      <w:pPr>
        <w:spacing w:line="460" w:lineRule="exact"/>
        <w:rPr>
          <w:rFonts w:hint="eastAsia" w:ascii="仿宋" w:hAnsi="仿宋" w:eastAsia="仿宋" w:cs="仿宋"/>
          <w:sz w:val="32"/>
          <w:szCs w:val="32"/>
        </w:rPr>
      </w:pPr>
    </w:p>
    <w:p w14:paraId="49A7BE62">
      <w:pPr>
        <w:spacing w:line="460" w:lineRule="exact"/>
        <w:ind w:firstLine="640" w:firstLineChars="200"/>
        <w:rPr>
          <w:rFonts w:hint="eastAsia" w:ascii="仿宋" w:hAnsi="仿宋" w:eastAsia="仿宋" w:cs="仿宋"/>
          <w:sz w:val="32"/>
          <w:szCs w:val="32"/>
        </w:rPr>
      </w:pPr>
    </w:p>
    <w:p w14:paraId="4CEF3DBC">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0ED26789">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7F4846D2">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37DDBCA7">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7CA51352">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402810B9">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69179C2F">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6D272ED8">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499480C5">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05466F21">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356BDBE6">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75702E40">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5BEDEB05">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57124D35">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1457A4F7">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68D677C3">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483864A9">
      <w:pPr>
        <w:tabs>
          <w:tab w:val="left" w:pos="7515"/>
        </w:tabs>
        <w:spacing w:line="580" w:lineRule="exact"/>
        <w:ind w:firstLine="442" w:firstLineChars="100"/>
        <w:jc w:val="both"/>
        <w:rPr>
          <w:rFonts w:hint="eastAsia" w:ascii="宋体" w:hAnsi="宋体"/>
          <w:b/>
          <w:sz w:val="44"/>
          <w:szCs w:val="44"/>
        </w:rPr>
      </w:pPr>
    </w:p>
    <w:p w14:paraId="166BB406">
      <w:pPr>
        <w:tabs>
          <w:tab w:val="left" w:pos="7515"/>
        </w:tabs>
        <w:spacing w:line="580" w:lineRule="exact"/>
        <w:ind w:firstLine="442" w:firstLineChars="100"/>
        <w:jc w:val="both"/>
        <w:rPr>
          <w:rFonts w:hint="eastAsia" w:ascii="宋体" w:hAnsi="宋体"/>
          <w:b/>
          <w:sz w:val="44"/>
          <w:szCs w:val="44"/>
        </w:rPr>
      </w:pPr>
    </w:p>
    <w:p w14:paraId="4594AF09">
      <w:pPr>
        <w:tabs>
          <w:tab w:val="left" w:pos="7515"/>
        </w:tabs>
        <w:spacing w:line="580" w:lineRule="exact"/>
        <w:ind w:firstLine="442" w:firstLineChars="100"/>
        <w:jc w:val="both"/>
        <w:rPr>
          <w:rFonts w:hint="eastAsia" w:ascii="宋体" w:hAnsi="宋体"/>
          <w:b/>
          <w:sz w:val="44"/>
          <w:szCs w:val="44"/>
        </w:rPr>
      </w:pPr>
    </w:p>
    <w:p w14:paraId="75FD6687">
      <w:pPr>
        <w:tabs>
          <w:tab w:val="left" w:pos="7515"/>
        </w:tabs>
        <w:spacing w:line="580" w:lineRule="exact"/>
        <w:ind w:firstLine="442" w:firstLineChars="100"/>
        <w:jc w:val="both"/>
        <w:rPr>
          <w:rFonts w:hint="eastAsia" w:ascii="宋体" w:hAnsi="宋体"/>
          <w:b/>
          <w:sz w:val="44"/>
          <w:szCs w:val="44"/>
        </w:rPr>
      </w:pPr>
    </w:p>
    <w:p w14:paraId="2C6D940D">
      <w:pPr>
        <w:tabs>
          <w:tab w:val="left" w:pos="7515"/>
        </w:tabs>
        <w:spacing w:line="580" w:lineRule="exact"/>
        <w:ind w:firstLine="442" w:firstLineChars="100"/>
        <w:jc w:val="both"/>
        <w:rPr>
          <w:rFonts w:hint="eastAsia" w:ascii="宋体" w:hAnsi="宋体"/>
          <w:b/>
          <w:sz w:val="44"/>
          <w:szCs w:val="44"/>
        </w:rPr>
      </w:pPr>
    </w:p>
    <w:p w14:paraId="15477735">
      <w:pPr>
        <w:tabs>
          <w:tab w:val="left" w:pos="7515"/>
        </w:tabs>
        <w:spacing w:line="580" w:lineRule="exact"/>
        <w:ind w:firstLine="442" w:firstLineChars="100"/>
        <w:jc w:val="both"/>
        <w:rPr>
          <w:rFonts w:hint="eastAsia" w:ascii="宋体" w:hAnsi="宋体"/>
          <w:b/>
          <w:sz w:val="44"/>
          <w:szCs w:val="44"/>
        </w:rPr>
      </w:pPr>
    </w:p>
    <w:p w14:paraId="7D18D436">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883" w:firstLineChars="2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5106</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w:t>
      </w:r>
      <w:r>
        <w:rPr>
          <w:rFonts w:hint="eastAsia" w:ascii="仿宋_GB2312" w:hAnsi="仿宋_GB2312" w:eastAsia="仿宋_GB2312" w:cs="仿宋_GB2312"/>
          <w:sz w:val="32"/>
          <w:szCs w:val="32"/>
        </w:rPr>
        <w:t>的国有建设用地使用权。</w:t>
      </w:r>
    </w:p>
    <w:p w14:paraId="3D043B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p>
    <w:tbl>
      <w:tblPr>
        <w:tblStyle w:val="6"/>
        <w:tblpPr w:leftFromText="180" w:rightFromText="180" w:vertAnchor="text" w:horzAnchor="page" w:tblpX="674" w:tblpY="998"/>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3C3E9EEC">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AFCC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4EFEFD0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23C3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AC538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7FA64C1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DA73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575A9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495EB0E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00229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02EA0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19250C8B">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ADF4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0C108D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2A7F14D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2F0AB4D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1DDC38A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EFF84F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205B66C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4032492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556EEF4C">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714129B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41DCDCB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94CD30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0FCA6A0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0B871B6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1302E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C8C7C7">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481D2BC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AF3E7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F90C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20C11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10AD9E4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0F06A18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67A57D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74C208A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2463600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208F47D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D1C96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G25106</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4A919A3">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大冶市高铁大道东侧、纬五路以北地块（A地块）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9482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33988.6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1FAF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29315.81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092FD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2CEC3E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9D71FF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EA97CB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34796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0FD3464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5E3321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645BF3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6C2A77E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320.2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79CE04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1601</w:t>
            </w:r>
          </w:p>
        </w:tc>
      </w:tr>
      <w:tr w14:paraId="53A8D713">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38E07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G25107</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B1E3916">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kern w:val="0"/>
                <w:sz w:val="18"/>
                <w:szCs w:val="18"/>
                <w:lang w:val="en-US" w:eastAsia="zh-CN"/>
              </w:rPr>
            </w:pPr>
            <w:r>
              <w:rPr>
                <w:rFonts w:hint="eastAsia"/>
                <w:kern w:val="0"/>
                <w:sz w:val="18"/>
                <w:szCs w:val="18"/>
                <w:lang w:val="en-US" w:eastAsia="zh-CN"/>
              </w:rPr>
              <w:t>大冶市高铁大道东侧、纬五路以北地块（B地块）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275C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12551.37</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B82C6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10694.24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B67328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新型工业用地（M0）</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6B7F1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2.5（不低于1.5）</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A7E8D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5A67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20</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635A7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54</w:t>
            </w:r>
          </w:p>
        </w:tc>
        <w:tc>
          <w:tcPr>
            <w:tcW w:w="630" w:type="dxa"/>
            <w:tcBorders>
              <w:top w:val="single" w:color="auto" w:sz="4" w:space="0"/>
              <w:left w:val="nil"/>
              <w:bottom w:val="single" w:color="auto" w:sz="4" w:space="0"/>
              <w:right w:val="single" w:color="auto" w:sz="4" w:space="0"/>
            </w:tcBorders>
            <w:noWrap w:val="0"/>
            <w:vAlign w:val="center"/>
          </w:tcPr>
          <w:p w14:paraId="146478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0B52047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2216AA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16069D2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116.8</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918B89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584</w:t>
            </w:r>
          </w:p>
        </w:tc>
      </w:tr>
      <w:tr w14:paraId="61F01B34">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7420A2">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ascii="宋体" w:hAnsi="宋体" w:eastAsia="宋体" w:cs="Times New Roman"/>
                <w:kern w:val="2"/>
                <w:sz w:val="18"/>
                <w:szCs w:val="18"/>
                <w:lang w:val="en-US" w:eastAsia="zh-CN" w:bidi="ar-SA"/>
              </w:rPr>
              <w:t>G25106、G25107号地块根据规划条件要求执行。</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6432DF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07F63A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2E2D4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5"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 w:eastAsia="仿宋_GB2312"/>
          <w:sz w:val="32"/>
          <w:szCs w:val="32"/>
        </w:rPr>
        <w:t>特别约定</w:t>
      </w:r>
    </w:p>
    <w:p w14:paraId="25C0F3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一）G25106、G25107号地块现设定不得分割转让，如今后确需分割转让，按现行法律法规执行。</w:t>
      </w:r>
    </w:p>
    <w:p w14:paraId="336219F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G25106、G25107号地块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通讯、</w:t>
      </w:r>
      <w:r>
        <w:rPr>
          <w:rFonts w:hint="eastAsia" w:ascii="仿宋_GB2312" w:hAnsi="仿宋_GB2312" w:eastAsia="仿宋_GB2312" w:cs="仿宋_GB2312"/>
          <w:sz w:val="32"/>
          <w:szCs w:val="32"/>
          <w:lang w:eastAsia="zh-CN"/>
        </w:rPr>
        <w:t>通上水、</w:t>
      </w:r>
      <w:r>
        <w:rPr>
          <w:rFonts w:hint="eastAsia" w:ascii="仿宋_GB2312" w:hAnsi="仿宋_GB2312" w:eastAsia="仿宋_GB2312" w:cs="仿宋_GB2312"/>
          <w:sz w:val="32"/>
          <w:szCs w:val="32"/>
          <w:lang w:val="en-US" w:eastAsia="zh-CN"/>
        </w:rPr>
        <w:t>通下水</w:t>
      </w:r>
      <w:r>
        <w:rPr>
          <w:rFonts w:hint="eastAsia" w:ascii="仿宋_GB2312" w:hAnsi="仿宋_GB2312" w:eastAsia="仿宋_GB2312" w:cs="仿宋_GB2312"/>
          <w:sz w:val="32"/>
          <w:szCs w:val="32"/>
          <w:lang w:eastAsia="zh-CN"/>
        </w:rPr>
        <w:t>。</w:t>
      </w:r>
    </w:p>
    <w:p w14:paraId="55B373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G25106、G25107号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东岳街道</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现状交付</w:t>
      </w:r>
      <w:r>
        <w:rPr>
          <w:rFonts w:hint="eastAsia" w:ascii="仿宋_GB2312" w:hAnsi="仿宋_GB2312" w:eastAsia="仿宋_GB2312" w:cs="仿宋_GB2312"/>
          <w:color w:val="000000"/>
          <w:sz w:val="32"/>
          <w:szCs w:val="32"/>
          <w:lang w:eastAsia="zh-CN"/>
        </w:rPr>
        <w:t>。</w:t>
      </w:r>
    </w:p>
    <w:p w14:paraId="63CEFC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rPr>
        <w:t>）上述宗地挂牌出让成交后，竞得人应在成交之日起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0F54C74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五</w:t>
      </w:r>
      <w:r>
        <w:rPr>
          <w:rFonts w:hint="eastAsia" w:ascii="仿宋_GB2312" w:hAnsi="仿宋"/>
          <w:b w:val="0"/>
          <w:bCs w:val="0"/>
          <w:sz w:val="32"/>
          <w:szCs w:val="32"/>
          <w:lang w:eastAsia="zh-CN"/>
        </w:rPr>
        <w:t>）</w:t>
      </w:r>
      <w:r>
        <w:rPr>
          <w:rFonts w:hint="eastAsia" w:ascii="仿宋_GB2312" w:hAnsi="仿宋"/>
          <w:b w:val="0"/>
          <w:bCs w:val="0"/>
          <w:sz w:val="32"/>
          <w:szCs w:val="32"/>
        </w:rPr>
        <w:t>上述宗地以现状挂牌出让，实际勘测交付面积与挂牌出让文件标明的出让面积差异率在1%以内的，面积差异不影响成交价格。</w:t>
      </w:r>
    </w:p>
    <w:p w14:paraId="5FF3D5E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六</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述宗地</w:t>
      </w:r>
      <w:r>
        <w:rPr>
          <w:rFonts w:hint="eastAsia" w:ascii="仿宋_GB2312" w:hAnsi="仿宋"/>
          <w:b w:val="0"/>
          <w:bCs w:val="0"/>
          <w:color w:val="000000"/>
          <w:sz w:val="32"/>
          <w:szCs w:val="32"/>
          <w:lang w:val="en-US" w:eastAsia="zh-CN"/>
        </w:rPr>
        <w:t>按规划条件要求执行</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
          <w:b w:val="0"/>
          <w:bCs w:val="0"/>
          <w:color w:val="000000"/>
          <w:sz w:val="32"/>
          <w:szCs w:val="32"/>
          <w:lang w:val="en-US" w:eastAsia="zh-CN"/>
        </w:rPr>
        <w:t>G25106、G25107号地块根据《黄石市人民政府办公室关于印发黄石市新型工业用地（M0）管理实施意见（试行）的通知》，新型工业用地(M0）项目产业用房计容面积不小于总计容面积的70%，配套用房计容面积不大于总计容面积的30%。其中，配套宿舍及员工倒班房建筑面积不大于总计容面积的15%，且不允许向个人出售。</w:t>
      </w:r>
      <w:r>
        <w:rPr>
          <w:rFonts w:hint="eastAsia" w:ascii="仿宋_GB2312" w:hAnsi="仿宋_GB2312" w:eastAsia="仿宋_GB2312" w:cs="仿宋_GB2312"/>
          <w:b w:val="0"/>
          <w:bCs w:val="0"/>
          <w:color w:val="000000"/>
          <w:sz w:val="32"/>
          <w:szCs w:val="32"/>
          <w:lang w:eastAsia="zh-CN"/>
        </w:rPr>
        <w:t>固定资产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09AC8C9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p>
    <w:p w14:paraId="70C87BE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18FF0097">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w:t>
      </w:r>
      <w:r>
        <w:rPr>
          <w:rFonts w:hint="eastAsia" w:hAnsi="仿宋"/>
          <w:color w:val="000000"/>
          <w:kern w:val="0"/>
          <w:lang w:val="en-US" w:eastAsia="zh-CN"/>
        </w:rPr>
        <w:t>各</w:t>
      </w:r>
      <w:r>
        <w:rPr>
          <w:rFonts w:hint="eastAsia" w:hAnsi="仿宋"/>
          <w:color w:val="000000"/>
        </w:rPr>
        <w:t>宗地的竞买保证金为：</w:t>
      </w:r>
    </w:p>
    <w:p w14:paraId="7CE6C98C">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25106</w:t>
      </w:r>
      <w:r>
        <w:rPr>
          <w:rFonts w:hint="eastAsia" w:hAnsi="仿宋"/>
          <w:szCs w:val="44"/>
        </w:rPr>
        <w:t>号地块为人民币大写</w:t>
      </w:r>
      <w:r>
        <w:rPr>
          <w:rFonts w:hint="eastAsia" w:hAnsi="仿宋"/>
          <w:szCs w:val="44"/>
          <w:lang w:val="en-US" w:eastAsia="zh-CN"/>
        </w:rPr>
        <w:t>叁佰贰拾万贰仟</w:t>
      </w:r>
      <w:r>
        <w:rPr>
          <w:rFonts w:hint="eastAsia" w:hAnsi="仿宋"/>
          <w:szCs w:val="44"/>
        </w:rPr>
        <w:t>元整（￥：</w:t>
      </w:r>
      <w:r>
        <w:rPr>
          <w:rFonts w:hint="eastAsia" w:hAnsi="仿宋"/>
          <w:szCs w:val="44"/>
          <w:lang w:val="en-US" w:eastAsia="zh-CN"/>
        </w:rPr>
        <w:t>3202</w:t>
      </w:r>
      <w:r>
        <w:rPr>
          <w:rFonts w:hint="eastAsia" w:hAnsi="仿宋"/>
          <w:szCs w:val="44"/>
        </w:rPr>
        <w:t>000.00</w:t>
      </w:r>
      <w:r>
        <w:rPr>
          <w:rFonts w:hint="eastAsia" w:hAnsi="仿宋"/>
          <w:szCs w:val="44"/>
          <w:lang w:eastAsia="zh-CN"/>
        </w:rPr>
        <w:t>元</w:t>
      </w:r>
      <w:r>
        <w:rPr>
          <w:rFonts w:hint="eastAsia" w:hAnsi="仿宋"/>
          <w:szCs w:val="44"/>
        </w:rPr>
        <w:t>）。</w:t>
      </w:r>
    </w:p>
    <w:p w14:paraId="31B28DCF">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szCs w:val="44"/>
        </w:rPr>
      </w:pPr>
      <w:r>
        <w:rPr>
          <w:rFonts w:hint="eastAsia" w:hAnsi="仿宋"/>
          <w:szCs w:val="44"/>
        </w:rPr>
        <w:t>G</w:t>
      </w:r>
      <w:r>
        <w:rPr>
          <w:rFonts w:hint="eastAsia" w:hAnsi="仿宋"/>
          <w:szCs w:val="44"/>
          <w:lang w:val="en-US" w:eastAsia="zh-CN"/>
        </w:rPr>
        <w:t>25107</w:t>
      </w:r>
      <w:r>
        <w:rPr>
          <w:rFonts w:hint="eastAsia" w:hAnsi="仿宋"/>
          <w:szCs w:val="44"/>
        </w:rPr>
        <w:t>号地块为人民币大写</w:t>
      </w:r>
      <w:r>
        <w:rPr>
          <w:rFonts w:hint="eastAsia" w:hAnsi="仿宋"/>
          <w:szCs w:val="44"/>
          <w:lang w:val="en-US" w:eastAsia="zh-CN"/>
        </w:rPr>
        <w:t>壹佰壹拾陆万捌仟</w:t>
      </w:r>
      <w:r>
        <w:rPr>
          <w:rFonts w:hint="eastAsia" w:hAnsi="仿宋"/>
          <w:szCs w:val="44"/>
        </w:rPr>
        <w:t>元整（￥：</w:t>
      </w:r>
      <w:r>
        <w:rPr>
          <w:rFonts w:hint="eastAsia" w:hAnsi="仿宋"/>
          <w:szCs w:val="44"/>
          <w:lang w:val="en-US" w:eastAsia="zh-CN"/>
        </w:rPr>
        <w:t>1168</w:t>
      </w:r>
      <w:r>
        <w:rPr>
          <w:rFonts w:hint="eastAsia" w:hAnsi="仿宋"/>
          <w:szCs w:val="44"/>
        </w:rPr>
        <w:t>000.00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6DAC0B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val="en-US" w:eastAsia="zh-CN"/>
        </w:rPr>
        <w:t>各</w:t>
      </w:r>
      <w:r>
        <w:rPr>
          <w:rFonts w:hint="eastAsia" w:ascii="仿宋_GB2312" w:hAnsi="仿宋" w:eastAsia="仿宋_GB2312"/>
          <w:sz w:val="32"/>
        </w:rPr>
        <w:t xml:space="preserve">宗地的出让起始价、增价幅度 </w:t>
      </w:r>
    </w:p>
    <w:p w14:paraId="372E7345">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25106</w:t>
      </w:r>
      <w:r>
        <w:rPr>
          <w:rFonts w:hint="eastAsia" w:hAnsi="仿宋"/>
          <w:szCs w:val="32"/>
        </w:rPr>
        <w:t>号地块出让起始价为人民币</w:t>
      </w:r>
      <w:r>
        <w:rPr>
          <w:rFonts w:hint="eastAsia" w:hAnsi="仿宋"/>
          <w:szCs w:val="44"/>
        </w:rPr>
        <w:t>大写</w:t>
      </w:r>
      <w:r>
        <w:rPr>
          <w:rFonts w:hint="eastAsia" w:hAnsi="仿宋"/>
          <w:szCs w:val="44"/>
          <w:lang w:val="en-US" w:eastAsia="zh-CN"/>
        </w:rPr>
        <w:t>壹仟陆佰零壹</w:t>
      </w:r>
      <w:r>
        <w:rPr>
          <w:rFonts w:hint="eastAsia" w:hAnsi="仿宋"/>
          <w:szCs w:val="44"/>
        </w:rPr>
        <w:t>万元整（￥：</w:t>
      </w:r>
      <w:r>
        <w:rPr>
          <w:rFonts w:hint="eastAsia" w:hAnsi="仿宋"/>
          <w:szCs w:val="44"/>
          <w:lang w:val="en-US" w:eastAsia="zh-CN"/>
        </w:rPr>
        <w:t>1601</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61C4816B">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Ansi="仿宋"/>
        </w:rPr>
      </w:pPr>
      <w:r>
        <w:rPr>
          <w:rFonts w:hint="eastAsia" w:hAnsi="仿宋"/>
          <w:szCs w:val="32"/>
        </w:rPr>
        <w:t>G</w:t>
      </w:r>
      <w:r>
        <w:rPr>
          <w:rFonts w:hint="eastAsia" w:hAnsi="仿宋"/>
          <w:szCs w:val="32"/>
          <w:lang w:val="en-US" w:eastAsia="zh-CN"/>
        </w:rPr>
        <w:t>25107</w:t>
      </w:r>
      <w:r>
        <w:rPr>
          <w:rFonts w:hint="eastAsia" w:hAnsi="仿宋"/>
          <w:szCs w:val="32"/>
        </w:rPr>
        <w:t>号地块出让起始价为人民币</w:t>
      </w:r>
      <w:r>
        <w:rPr>
          <w:rFonts w:hint="eastAsia" w:hAnsi="仿宋"/>
          <w:szCs w:val="44"/>
        </w:rPr>
        <w:t>大写</w:t>
      </w:r>
      <w:r>
        <w:rPr>
          <w:rFonts w:hint="eastAsia" w:hAnsi="仿宋"/>
          <w:szCs w:val="44"/>
          <w:lang w:val="en-US" w:eastAsia="zh-CN"/>
        </w:rPr>
        <w:t>伍佰捌拾肆</w:t>
      </w:r>
      <w:r>
        <w:rPr>
          <w:rFonts w:hint="eastAsia" w:hAnsi="仿宋"/>
          <w:szCs w:val="44"/>
        </w:rPr>
        <w:t>万元整（￥：</w:t>
      </w:r>
      <w:r>
        <w:rPr>
          <w:rFonts w:hint="eastAsia" w:hAnsi="仿宋"/>
          <w:szCs w:val="44"/>
          <w:lang w:val="en-US" w:eastAsia="zh-CN"/>
        </w:rPr>
        <w:t>584</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7D42D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w:t>
      </w:r>
      <w:bookmarkStart w:id="0" w:name="_GoBack"/>
      <w:bookmarkEnd w:id="0"/>
      <w:r>
        <w:rPr>
          <w:rFonts w:hint="eastAsia" w:ascii="仿宋_GB2312" w:hAnsi="仿宋_GB2312" w:eastAsia="仿宋_GB2312" w:cs="仿宋_GB2312"/>
          <w:sz w:val="32"/>
          <w:szCs w:val="32"/>
        </w:rPr>
        <w:t>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308354D5">
      <w:pPr>
        <w:spacing w:line="420" w:lineRule="exact"/>
        <w:rPr>
          <w:rFonts w:hint="eastAsia" w:ascii="黑体" w:hAnsi="宋体" w:eastAsia="黑体" w:cs="Times New Roman"/>
          <w:sz w:val="44"/>
          <w:szCs w:val="36"/>
        </w:rPr>
      </w:pPr>
    </w:p>
    <w:p w14:paraId="587FB27F">
      <w:pPr>
        <w:spacing w:line="420" w:lineRule="exact"/>
        <w:ind w:firstLine="3080" w:firstLineChars="700"/>
        <w:rPr>
          <w:rFonts w:hint="eastAsia" w:ascii="黑体" w:hAnsi="宋体" w:eastAsia="黑体" w:cs="Times New Roman"/>
          <w:sz w:val="44"/>
          <w:szCs w:val="36"/>
        </w:rPr>
      </w:pPr>
    </w:p>
    <w:p w14:paraId="3CD190D5">
      <w:pPr>
        <w:spacing w:line="420" w:lineRule="exact"/>
        <w:ind w:firstLine="3080" w:firstLineChars="700"/>
        <w:rPr>
          <w:rFonts w:hint="eastAsia" w:ascii="黑体" w:hAnsi="宋体" w:eastAsia="黑体" w:cs="Times New Roman"/>
          <w:sz w:val="44"/>
          <w:szCs w:val="36"/>
        </w:rPr>
      </w:pPr>
    </w:p>
    <w:p w14:paraId="79E0CB9D">
      <w:pPr>
        <w:spacing w:line="420" w:lineRule="exact"/>
        <w:ind w:firstLine="3080" w:firstLineChars="700"/>
        <w:rPr>
          <w:rFonts w:hint="eastAsia" w:ascii="黑体" w:hAnsi="宋体" w:eastAsia="黑体" w:cs="Times New Roman"/>
          <w:sz w:val="44"/>
          <w:szCs w:val="36"/>
        </w:rPr>
      </w:pPr>
    </w:p>
    <w:p w14:paraId="1EC2CBAB">
      <w:pPr>
        <w:spacing w:line="420" w:lineRule="exact"/>
        <w:ind w:firstLine="3080" w:firstLineChars="700"/>
        <w:rPr>
          <w:rFonts w:hint="eastAsia" w:ascii="黑体" w:hAnsi="宋体" w:eastAsia="黑体" w:cs="Times New Roman"/>
          <w:sz w:val="44"/>
          <w:szCs w:val="36"/>
        </w:rPr>
      </w:pPr>
    </w:p>
    <w:p w14:paraId="62C6CDDD">
      <w:pPr>
        <w:spacing w:line="420" w:lineRule="exact"/>
        <w:ind w:firstLine="3080" w:firstLineChars="700"/>
        <w:rPr>
          <w:rFonts w:hint="eastAsia" w:ascii="黑体" w:hAnsi="宋体" w:eastAsia="黑体" w:cs="Times New Roman"/>
          <w:sz w:val="44"/>
          <w:szCs w:val="36"/>
        </w:rPr>
      </w:pPr>
    </w:p>
    <w:p w14:paraId="0228C6E6">
      <w:pPr>
        <w:spacing w:line="420" w:lineRule="exact"/>
        <w:ind w:firstLine="3080" w:firstLineChars="700"/>
        <w:rPr>
          <w:rFonts w:hint="eastAsia" w:ascii="黑体" w:hAnsi="宋体" w:eastAsia="黑体" w:cs="Times New Roman"/>
          <w:sz w:val="44"/>
          <w:szCs w:val="36"/>
        </w:rPr>
      </w:pPr>
    </w:p>
    <w:p w14:paraId="2B71B17A">
      <w:pPr>
        <w:spacing w:line="420" w:lineRule="exact"/>
        <w:ind w:firstLine="3080" w:firstLineChars="700"/>
        <w:rPr>
          <w:rFonts w:hint="eastAsia" w:ascii="黑体" w:hAnsi="宋体" w:eastAsia="黑体" w:cs="Times New Roman"/>
          <w:sz w:val="44"/>
          <w:szCs w:val="36"/>
        </w:rPr>
      </w:pPr>
    </w:p>
    <w:p w14:paraId="1425924B">
      <w:pPr>
        <w:spacing w:line="420" w:lineRule="exact"/>
        <w:ind w:firstLine="3080" w:firstLineChars="700"/>
        <w:rPr>
          <w:rFonts w:hint="eastAsia" w:ascii="黑体" w:hAnsi="宋体" w:eastAsia="黑体" w:cs="Times New Roman"/>
          <w:sz w:val="44"/>
          <w:szCs w:val="36"/>
        </w:rPr>
      </w:pPr>
    </w:p>
    <w:p w14:paraId="156B5FF1">
      <w:pPr>
        <w:spacing w:line="420" w:lineRule="exact"/>
        <w:ind w:firstLine="3080" w:firstLineChars="700"/>
        <w:rPr>
          <w:rFonts w:hint="eastAsia" w:ascii="黑体" w:hAnsi="宋体" w:eastAsia="黑体" w:cs="Times New Roman"/>
          <w:sz w:val="44"/>
          <w:szCs w:val="36"/>
        </w:rPr>
      </w:pPr>
    </w:p>
    <w:p w14:paraId="18E9F2D2">
      <w:pPr>
        <w:spacing w:line="420" w:lineRule="exact"/>
        <w:ind w:firstLine="3080" w:firstLineChars="700"/>
        <w:rPr>
          <w:rFonts w:hint="eastAsia" w:ascii="黑体" w:hAnsi="宋体" w:eastAsia="黑体" w:cs="Times New Roman"/>
          <w:sz w:val="44"/>
          <w:szCs w:val="36"/>
        </w:rPr>
      </w:pPr>
    </w:p>
    <w:p w14:paraId="48ADB8A6">
      <w:pPr>
        <w:spacing w:line="420" w:lineRule="exact"/>
        <w:ind w:firstLine="3080" w:firstLineChars="700"/>
        <w:rPr>
          <w:rFonts w:hint="eastAsia" w:ascii="黑体" w:hAnsi="宋体" w:eastAsia="黑体" w:cs="Times New Roman"/>
          <w:sz w:val="44"/>
          <w:szCs w:val="36"/>
        </w:rPr>
      </w:pPr>
    </w:p>
    <w:p w14:paraId="7CBC9877">
      <w:pPr>
        <w:spacing w:line="420" w:lineRule="exact"/>
        <w:ind w:firstLine="3080" w:firstLineChars="700"/>
        <w:rPr>
          <w:rFonts w:hint="eastAsia" w:ascii="黑体" w:hAnsi="宋体" w:eastAsia="黑体" w:cs="Times New Roman"/>
          <w:sz w:val="44"/>
          <w:szCs w:val="36"/>
        </w:rPr>
      </w:pPr>
    </w:p>
    <w:p w14:paraId="6F963121">
      <w:pPr>
        <w:spacing w:line="420" w:lineRule="exact"/>
        <w:ind w:firstLine="3080" w:firstLineChars="700"/>
        <w:rPr>
          <w:rFonts w:hint="eastAsia" w:ascii="黑体" w:hAnsi="宋体" w:eastAsia="黑体" w:cs="Times New Roman"/>
          <w:sz w:val="44"/>
          <w:szCs w:val="36"/>
        </w:rPr>
      </w:pPr>
    </w:p>
    <w:p w14:paraId="17C219B7">
      <w:pPr>
        <w:spacing w:line="420" w:lineRule="exact"/>
        <w:ind w:firstLine="3080" w:firstLineChars="700"/>
        <w:rPr>
          <w:rFonts w:hint="eastAsia" w:ascii="黑体" w:hAnsi="宋体" w:eastAsia="黑体" w:cs="Times New Roman"/>
          <w:sz w:val="44"/>
          <w:szCs w:val="36"/>
        </w:rPr>
      </w:pPr>
    </w:p>
    <w:p w14:paraId="77523ABB">
      <w:pPr>
        <w:spacing w:line="420" w:lineRule="exact"/>
        <w:ind w:firstLine="3080" w:firstLineChars="700"/>
        <w:rPr>
          <w:rFonts w:hint="eastAsia" w:ascii="黑体" w:hAnsi="宋体" w:eastAsia="黑体" w:cs="Times New Roman"/>
          <w:sz w:val="44"/>
          <w:szCs w:val="36"/>
        </w:rPr>
      </w:pPr>
    </w:p>
    <w:p w14:paraId="78B56AA8">
      <w:pPr>
        <w:spacing w:line="420" w:lineRule="exact"/>
        <w:ind w:firstLine="3080" w:firstLineChars="700"/>
        <w:rPr>
          <w:rFonts w:hint="eastAsia" w:ascii="黑体" w:hAnsi="宋体" w:eastAsia="黑体" w:cs="Times New Roman"/>
          <w:sz w:val="44"/>
          <w:szCs w:val="36"/>
        </w:rPr>
      </w:pPr>
    </w:p>
    <w:p w14:paraId="77038568">
      <w:pPr>
        <w:spacing w:line="420" w:lineRule="exact"/>
        <w:ind w:firstLine="3080" w:firstLineChars="700"/>
        <w:rPr>
          <w:rFonts w:hint="eastAsia" w:ascii="黑体" w:hAnsi="宋体" w:eastAsia="黑体" w:cs="Times New Roman"/>
          <w:sz w:val="44"/>
          <w:szCs w:val="36"/>
        </w:rPr>
      </w:pPr>
    </w:p>
    <w:p w14:paraId="3B5B3BF0">
      <w:pPr>
        <w:spacing w:line="420" w:lineRule="exact"/>
        <w:ind w:firstLine="3080" w:firstLineChars="700"/>
        <w:rPr>
          <w:rFonts w:hint="eastAsia" w:ascii="黑体" w:hAnsi="宋体" w:eastAsia="黑体" w:cs="Times New Roman"/>
          <w:sz w:val="44"/>
          <w:szCs w:val="36"/>
        </w:rPr>
      </w:pPr>
    </w:p>
    <w:p w14:paraId="76D59066">
      <w:pPr>
        <w:spacing w:line="420" w:lineRule="exact"/>
        <w:ind w:firstLine="3080" w:firstLineChars="700"/>
        <w:rPr>
          <w:rFonts w:hint="eastAsia" w:ascii="黑体" w:hAnsi="宋体" w:eastAsia="黑体" w:cs="Times New Roman"/>
          <w:sz w:val="44"/>
          <w:szCs w:val="36"/>
        </w:rPr>
      </w:pPr>
    </w:p>
    <w:p w14:paraId="19A286F6">
      <w:pPr>
        <w:spacing w:line="420" w:lineRule="exact"/>
        <w:ind w:firstLine="3080" w:firstLineChars="7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5</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G25106</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6459255C">
      <w:pPr>
        <w:spacing w:line="600" w:lineRule="exact"/>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singl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G25106</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20</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30</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250CFAFA">
      <w:pPr>
        <w:spacing w:line="500" w:lineRule="exact"/>
        <w:ind w:firstLine="3080" w:firstLineChars="700"/>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20</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i w:val="0"/>
          <w:iCs w:val="0"/>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left="319" w:leftChars="152" w:firstLine="320" w:firstLineChars="1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1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四月三十</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097F4F"/>
    <w:rsid w:val="012D0479"/>
    <w:rsid w:val="014E5BB1"/>
    <w:rsid w:val="0298208C"/>
    <w:rsid w:val="033B2A00"/>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A30508"/>
    <w:rsid w:val="0BEB4A20"/>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2E090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282164"/>
    <w:rsid w:val="38773ED4"/>
    <w:rsid w:val="38E93264"/>
    <w:rsid w:val="3A1520BA"/>
    <w:rsid w:val="3A7E0611"/>
    <w:rsid w:val="3AA70471"/>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0965F36"/>
    <w:rsid w:val="511B37A3"/>
    <w:rsid w:val="5124425E"/>
    <w:rsid w:val="51D73F3F"/>
    <w:rsid w:val="51E2004E"/>
    <w:rsid w:val="522946B2"/>
    <w:rsid w:val="529D0575"/>
    <w:rsid w:val="52B07B8F"/>
    <w:rsid w:val="531E4371"/>
    <w:rsid w:val="538452A3"/>
    <w:rsid w:val="539D45B7"/>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9E35F9"/>
    <w:rsid w:val="5C4B74E0"/>
    <w:rsid w:val="5C6F4CA4"/>
    <w:rsid w:val="5C77038B"/>
    <w:rsid w:val="5CB87D6C"/>
    <w:rsid w:val="5DF41277"/>
    <w:rsid w:val="5E745F14"/>
    <w:rsid w:val="5EA123D9"/>
    <w:rsid w:val="5EA50472"/>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18509F"/>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8781</Words>
  <Characters>9386</Characters>
  <Lines>0</Lines>
  <Paragraphs>0</Paragraphs>
  <TotalTime>16</TotalTime>
  <ScaleCrop>false</ScaleCrop>
  <LinksUpToDate>false</LinksUpToDate>
  <CharactersWithSpaces>10019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2026-04-30T00:58:56Z</cp:lastPrinted>
  <dcterms:modified xsi:type="dcterms:W3CDTF">2026-04-30T01:04:44Z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