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07252C">
      <w:pPr>
        <w:spacing w:line="540" w:lineRule="exact"/>
        <w:ind w:firstLine="1767" w:firstLineChars="400"/>
        <w:rPr>
          <w:rFonts w:hint="eastAsia" w:ascii="黑体" w:hAnsi="黑体" w:eastAsia="黑体" w:cs="黑体"/>
          <w:b/>
          <w:color w:val="333333"/>
          <w:kern w:val="0"/>
          <w:sz w:val="44"/>
          <w:szCs w:val="44"/>
        </w:rPr>
      </w:pPr>
      <w:r>
        <w:rPr>
          <w:rFonts w:hint="eastAsia" w:ascii="黑体" w:hAnsi="黑体" w:eastAsia="黑体" w:cs="黑体"/>
          <w:b/>
          <w:color w:val="333333"/>
          <w:kern w:val="0"/>
          <w:sz w:val="44"/>
          <w:szCs w:val="44"/>
        </w:rPr>
        <w:t>大冶市202</w:t>
      </w:r>
      <w:r>
        <w:rPr>
          <w:rFonts w:hint="eastAsia" w:ascii="黑体" w:hAnsi="黑体" w:eastAsia="黑体" w:cs="黑体"/>
          <w:b/>
          <w:color w:val="333333"/>
          <w:kern w:val="0"/>
          <w:sz w:val="44"/>
          <w:szCs w:val="44"/>
          <w:lang w:val="en-US" w:eastAsia="zh-CN"/>
        </w:rPr>
        <w:t>6</w:t>
      </w:r>
      <w:r>
        <w:rPr>
          <w:rFonts w:hint="eastAsia" w:ascii="黑体" w:hAnsi="黑体" w:eastAsia="黑体" w:cs="黑体"/>
          <w:b/>
          <w:color w:val="333333"/>
          <w:kern w:val="0"/>
          <w:sz w:val="44"/>
          <w:szCs w:val="44"/>
        </w:rPr>
        <w:t>年第</w:t>
      </w:r>
      <w:r>
        <w:rPr>
          <w:rFonts w:hint="eastAsia" w:ascii="黑体" w:hAnsi="黑体" w:eastAsia="黑体" w:cs="黑体"/>
          <w:b/>
          <w:color w:val="333333"/>
          <w:kern w:val="0"/>
          <w:sz w:val="44"/>
          <w:szCs w:val="44"/>
          <w:lang w:val="en-US" w:eastAsia="zh-CN"/>
        </w:rPr>
        <w:t>5</w:t>
      </w:r>
      <w:r>
        <w:rPr>
          <w:rFonts w:hint="eastAsia" w:ascii="黑体" w:hAnsi="黑体" w:eastAsia="黑体" w:cs="黑体"/>
          <w:b/>
          <w:color w:val="333333"/>
          <w:kern w:val="0"/>
          <w:sz w:val="44"/>
          <w:szCs w:val="44"/>
        </w:rPr>
        <w:t>期国有</w:t>
      </w:r>
    </w:p>
    <w:p w14:paraId="268904A6">
      <w:pPr>
        <w:spacing w:line="540" w:lineRule="exact"/>
        <w:ind w:firstLine="883" w:firstLineChars="200"/>
        <w:rPr>
          <w:rFonts w:hint="eastAsia" w:ascii="黑体" w:hAnsi="黑体" w:eastAsia="黑体" w:cs="黑体"/>
          <w:b/>
          <w:color w:val="333333"/>
          <w:kern w:val="0"/>
          <w:sz w:val="36"/>
          <w:szCs w:val="36"/>
        </w:rPr>
      </w:pPr>
      <w:r>
        <w:rPr>
          <w:rFonts w:hint="eastAsia" w:ascii="黑体" w:hAnsi="黑体" w:eastAsia="黑体" w:cs="黑体"/>
          <w:b/>
          <w:color w:val="333333"/>
          <w:kern w:val="0"/>
          <w:sz w:val="44"/>
          <w:szCs w:val="44"/>
        </w:rPr>
        <w:t>建设用地使用权网上挂牌出让须知</w:t>
      </w:r>
    </w:p>
    <w:p w14:paraId="17631DE0">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eastAsia="仿宋_GB2312"/>
          <w:sz w:val="32"/>
        </w:rPr>
      </w:pPr>
      <w:r>
        <w:rPr>
          <w:rFonts w:hint="eastAsia" w:eastAsia="仿宋_GB2312"/>
          <w:sz w:val="32"/>
        </w:rPr>
        <w:t>根据《中华人民共和国土地管理法》、《中华人民共和国城市房地产管理法》、《中华人民共和国城镇国有土地使用权出让和转让暂行条例》、《招标拍卖挂牌出让国有建设用地使用权规定》及《招标拍卖挂牌出让国有土地使用权规范》等有关规定，经大冶市人民政府批准，大冶市公共资源交易中心根据大冶市自然资源和规划局</w:t>
      </w:r>
      <w:r>
        <w:rPr>
          <w:rFonts w:hint="eastAsia" w:eastAsia="仿宋_GB2312"/>
          <w:sz w:val="32"/>
          <w:lang w:val="en-US" w:eastAsia="zh-CN"/>
        </w:rPr>
        <w:t>来</w:t>
      </w:r>
      <w:r>
        <w:rPr>
          <w:rFonts w:hint="eastAsia" w:eastAsia="仿宋_GB2312"/>
          <w:sz w:val="32"/>
        </w:rPr>
        <w:t>函，决定以网上挂牌方式出让</w:t>
      </w:r>
      <w:r>
        <w:rPr>
          <w:rFonts w:hint="eastAsia" w:ascii="仿宋" w:hAnsi="仿宋" w:eastAsia="仿宋" w:cs="宋体"/>
          <w:color w:val="333333"/>
          <w:kern w:val="0"/>
          <w:sz w:val="32"/>
          <w:szCs w:val="32"/>
        </w:rPr>
        <w:t>G</w:t>
      </w:r>
      <w:r>
        <w:rPr>
          <w:rFonts w:hint="eastAsia" w:ascii="仿宋" w:hAnsi="仿宋" w:eastAsia="仿宋" w:cs="宋体"/>
          <w:color w:val="333333"/>
          <w:kern w:val="0"/>
          <w:sz w:val="32"/>
          <w:szCs w:val="32"/>
          <w:lang w:val="en-US" w:eastAsia="zh-CN"/>
        </w:rPr>
        <w:t>26037号等5宗地块</w:t>
      </w:r>
      <w:r>
        <w:rPr>
          <w:rFonts w:hint="eastAsia" w:eastAsia="仿宋_GB2312"/>
          <w:sz w:val="32"/>
        </w:rPr>
        <w:t>国有建设用地使用权。</w:t>
      </w:r>
    </w:p>
    <w:p w14:paraId="1F02D52B">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eastAsia="仿宋_GB2312"/>
          <w:sz w:val="32"/>
        </w:rPr>
      </w:pPr>
      <w:r>
        <w:rPr>
          <w:rFonts w:hint="eastAsia" w:eastAsia="仿宋_GB2312"/>
          <w:sz w:val="32"/>
        </w:rPr>
        <w:t>一、本次国有建设用地使用权挂牌出让的出让人为大冶市自然资源和规划局，具体组织实施由大冶市公共资源交易中心承办。</w:t>
      </w:r>
    </w:p>
    <w:p w14:paraId="730CFF2C">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eastAsia="仿宋_GB2312"/>
          <w:sz w:val="32"/>
        </w:rPr>
      </w:pPr>
      <w:r>
        <w:rPr>
          <w:rFonts w:hint="eastAsia" w:eastAsia="仿宋_GB2312"/>
          <w:sz w:val="32"/>
        </w:rPr>
        <w:t>二、本次国有建设用地使用权挂牌出让遵循公开、公平、公正和诚实信用原则。</w:t>
      </w:r>
    </w:p>
    <w:p w14:paraId="760A1D19">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640" w:firstLineChars="200"/>
        <w:textAlignment w:val="auto"/>
        <w:rPr>
          <w:rFonts w:hint="eastAsia" w:eastAsia="仿宋_GB2312"/>
          <w:sz w:val="32"/>
        </w:rPr>
      </w:pPr>
      <w:r>
        <w:rPr>
          <w:rFonts w:hint="eastAsia" w:eastAsia="仿宋_GB2312"/>
          <w:sz w:val="32"/>
        </w:rPr>
        <w:t>出让地块的基本情况及规划指标要求等：</w:t>
      </w:r>
    </w:p>
    <w:tbl>
      <w:tblPr>
        <w:tblStyle w:val="7"/>
        <w:tblW w:w="9731" w:type="dxa"/>
        <w:jc w:val="center"/>
        <w:tblLayout w:type="fixed"/>
        <w:tblCellMar>
          <w:top w:w="0" w:type="dxa"/>
          <w:left w:w="0" w:type="dxa"/>
          <w:bottom w:w="0" w:type="dxa"/>
          <w:right w:w="0" w:type="dxa"/>
        </w:tblCellMar>
      </w:tblPr>
      <w:tblGrid>
        <w:gridCol w:w="771"/>
        <w:gridCol w:w="1686"/>
        <w:gridCol w:w="885"/>
        <w:gridCol w:w="929"/>
        <w:gridCol w:w="795"/>
        <w:gridCol w:w="909"/>
        <w:gridCol w:w="892"/>
        <w:gridCol w:w="575"/>
        <w:gridCol w:w="888"/>
        <w:gridCol w:w="712"/>
        <w:gridCol w:w="689"/>
      </w:tblGrid>
      <w:tr w14:paraId="165D7B2D">
        <w:tblPrEx>
          <w:tblCellMar>
            <w:top w:w="0" w:type="dxa"/>
            <w:left w:w="0" w:type="dxa"/>
            <w:bottom w:w="0" w:type="dxa"/>
            <w:right w:w="0" w:type="dxa"/>
          </w:tblCellMar>
        </w:tblPrEx>
        <w:trPr>
          <w:cantSplit/>
          <w:trHeight w:val="281" w:hRule="atLeast"/>
          <w:jc w:val="center"/>
        </w:trPr>
        <w:tc>
          <w:tcPr>
            <w:tcW w:w="77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C4D2BB7">
            <w:pPr>
              <w:spacing w:line="220" w:lineRule="exact"/>
              <w:jc w:val="center"/>
              <w:rPr>
                <w:rFonts w:hint="eastAsia" w:ascii="仿宋" w:hAnsi="仿宋" w:eastAsia="仿宋" w:cs="仿宋"/>
                <w:color w:val="auto"/>
                <w:spacing w:val="-8"/>
                <w:sz w:val="18"/>
                <w:szCs w:val="18"/>
              </w:rPr>
            </w:pPr>
            <w:r>
              <w:rPr>
                <w:rFonts w:hint="eastAsia" w:ascii="仿宋" w:hAnsi="仿宋" w:eastAsia="仿宋" w:cs="仿宋"/>
                <w:color w:val="auto"/>
                <w:spacing w:val="-8"/>
                <w:sz w:val="18"/>
                <w:szCs w:val="18"/>
              </w:rPr>
              <w:t>地块</w:t>
            </w:r>
          </w:p>
          <w:p w14:paraId="45AE2C93">
            <w:pPr>
              <w:spacing w:line="220" w:lineRule="exact"/>
              <w:jc w:val="center"/>
              <w:rPr>
                <w:rFonts w:hint="eastAsia" w:ascii="仿宋" w:hAnsi="仿宋" w:eastAsia="仿宋" w:cs="仿宋"/>
                <w:color w:val="auto"/>
                <w:spacing w:val="-8"/>
                <w:sz w:val="18"/>
                <w:szCs w:val="18"/>
              </w:rPr>
            </w:pPr>
            <w:r>
              <w:rPr>
                <w:rFonts w:hint="eastAsia" w:ascii="仿宋" w:hAnsi="仿宋" w:eastAsia="仿宋" w:cs="仿宋"/>
                <w:color w:val="auto"/>
                <w:spacing w:val="-8"/>
                <w:sz w:val="18"/>
                <w:szCs w:val="18"/>
              </w:rPr>
              <w:t>编号</w:t>
            </w:r>
          </w:p>
        </w:tc>
        <w:tc>
          <w:tcPr>
            <w:tcW w:w="168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76B75E0">
            <w:pPr>
              <w:spacing w:line="220" w:lineRule="exact"/>
              <w:jc w:val="center"/>
              <w:rPr>
                <w:rFonts w:hint="eastAsia" w:ascii="仿宋" w:hAnsi="仿宋" w:eastAsia="仿宋" w:cs="仿宋"/>
                <w:color w:val="auto"/>
                <w:kern w:val="0"/>
                <w:sz w:val="18"/>
                <w:szCs w:val="18"/>
              </w:rPr>
            </w:pPr>
            <w:r>
              <w:rPr>
                <w:rFonts w:hint="eastAsia" w:ascii="仿宋" w:hAnsi="仿宋" w:eastAsia="仿宋" w:cs="仿宋"/>
                <w:color w:val="auto"/>
                <w:kern w:val="0"/>
                <w:sz w:val="18"/>
                <w:szCs w:val="18"/>
              </w:rPr>
              <w:t>土地坐落</w:t>
            </w:r>
          </w:p>
        </w:tc>
        <w:tc>
          <w:tcPr>
            <w:tcW w:w="885" w:type="dxa"/>
            <w:vMerge w:val="restart"/>
            <w:tcBorders>
              <w:top w:val="single" w:color="auto" w:sz="4" w:space="0"/>
              <w:left w:val="single" w:color="auto" w:sz="4" w:space="0"/>
              <w:bottom w:val="single" w:color="auto" w:sz="4" w:space="0"/>
              <w:right w:val="single" w:color="auto" w:sz="4" w:space="0"/>
            </w:tcBorders>
            <w:vAlign w:val="center"/>
          </w:tcPr>
          <w:p w14:paraId="7C43C2A4">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总面积</w:t>
            </w:r>
          </w:p>
        </w:tc>
        <w:tc>
          <w:tcPr>
            <w:tcW w:w="929" w:type="dxa"/>
            <w:vMerge w:val="restart"/>
            <w:tcBorders>
              <w:top w:val="single" w:color="auto" w:sz="4" w:space="0"/>
              <w:left w:val="single" w:color="auto" w:sz="4" w:space="0"/>
              <w:bottom w:val="single" w:color="auto" w:sz="4" w:space="0"/>
              <w:right w:val="single" w:color="auto" w:sz="4" w:space="0"/>
            </w:tcBorders>
            <w:vAlign w:val="center"/>
          </w:tcPr>
          <w:p w14:paraId="077C86EB">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出让面积(㎡)</w:t>
            </w:r>
          </w:p>
        </w:tc>
        <w:tc>
          <w:tcPr>
            <w:tcW w:w="795"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7E1F003">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土地</w:t>
            </w:r>
          </w:p>
          <w:p w14:paraId="588B07CF">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用途</w:t>
            </w:r>
          </w:p>
        </w:tc>
        <w:tc>
          <w:tcPr>
            <w:tcW w:w="2376" w:type="dxa"/>
            <w:gridSpan w:val="3"/>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20DAE1E">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规划指标要求</w:t>
            </w:r>
          </w:p>
        </w:tc>
        <w:tc>
          <w:tcPr>
            <w:tcW w:w="888"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8E36156">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出让</w:t>
            </w:r>
          </w:p>
          <w:p w14:paraId="34792FC0">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年限</w:t>
            </w:r>
          </w:p>
        </w:tc>
        <w:tc>
          <w:tcPr>
            <w:tcW w:w="712" w:type="dxa"/>
            <w:vMerge w:val="restart"/>
            <w:tcBorders>
              <w:top w:val="single" w:color="auto" w:sz="4" w:space="0"/>
              <w:left w:val="single" w:color="auto" w:sz="4" w:space="0"/>
              <w:bottom w:val="single" w:color="auto" w:sz="4" w:space="0"/>
              <w:right w:val="single" w:color="auto" w:sz="4" w:space="0"/>
            </w:tcBorders>
            <w:vAlign w:val="center"/>
          </w:tcPr>
          <w:p w14:paraId="5739636B">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竞买</w:t>
            </w:r>
          </w:p>
          <w:p w14:paraId="278F5FED">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保证金</w:t>
            </w:r>
          </w:p>
          <w:p w14:paraId="2227EE0F">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(万元)</w:t>
            </w:r>
          </w:p>
        </w:tc>
        <w:tc>
          <w:tcPr>
            <w:tcW w:w="689"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A927D60">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挂牌</w:t>
            </w:r>
          </w:p>
          <w:p w14:paraId="614B87F5">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起始价</w:t>
            </w:r>
          </w:p>
          <w:p w14:paraId="2B011022">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(万元)</w:t>
            </w:r>
          </w:p>
        </w:tc>
      </w:tr>
      <w:tr w14:paraId="22324385">
        <w:tblPrEx>
          <w:tblCellMar>
            <w:top w:w="0" w:type="dxa"/>
            <w:left w:w="0" w:type="dxa"/>
            <w:bottom w:w="0" w:type="dxa"/>
            <w:right w:w="0" w:type="dxa"/>
          </w:tblCellMar>
        </w:tblPrEx>
        <w:trPr>
          <w:cantSplit/>
          <w:trHeight w:val="403" w:hRule="atLeast"/>
          <w:jc w:val="center"/>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510EF7CB">
            <w:pPr>
              <w:widowControl/>
              <w:spacing w:line="220" w:lineRule="exact"/>
              <w:jc w:val="center"/>
              <w:rPr>
                <w:rFonts w:hint="eastAsia" w:ascii="仿宋" w:hAnsi="仿宋" w:eastAsia="仿宋" w:cs="仿宋"/>
                <w:color w:val="auto"/>
                <w:sz w:val="18"/>
                <w:szCs w:val="18"/>
              </w:rPr>
            </w:pPr>
          </w:p>
        </w:tc>
        <w:tc>
          <w:tcPr>
            <w:tcW w:w="1686" w:type="dxa"/>
            <w:vMerge w:val="continue"/>
            <w:tcBorders>
              <w:top w:val="single" w:color="auto" w:sz="4" w:space="0"/>
              <w:left w:val="single" w:color="auto" w:sz="4" w:space="0"/>
              <w:bottom w:val="single" w:color="auto" w:sz="4" w:space="0"/>
              <w:right w:val="single" w:color="auto" w:sz="4" w:space="0"/>
            </w:tcBorders>
            <w:vAlign w:val="center"/>
          </w:tcPr>
          <w:p w14:paraId="69CEE0D6">
            <w:pPr>
              <w:widowControl/>
              <w:spacing w:line="220" w:lineRule="exact"/>
              <w:jc w:val="center"/>
              <w:rPr>
                <w:rFonts w:hint="eastAsia" w:ascii="仿宋" w:hAnsi="仿宋" w:eastAsia="仿宋" w:cs="仿宋"/>
                <w:color w:val="auto"/>
                <w:kern w:val="0"/>
                <w:sz w:val="18"/>
                <w:szCs w:val="18"/>
              </w:rPr>
            </w:pPr>
          </w:p>
        </w:tc>
        <w:tc>
          <w:tcPr>
            <w:tcW w:w="885" w:type="dxa"/>
            <w:vMerge w:val="continue"/>
            <w:tcBorders>
              <w:top w:val="single" w:color="auto" w:sz="4" w:space="0"/>
              <w:left w:val="single" w:color="auto" w:sz="4" w:space="0"/>
              <w:bottom w:val="single" w:color="auto" w:sz="4" w:space="0"/>
              <w:right w:val="single" w:color="auto" w:sz="4" w:space="0"/>
            </w:tcBorders>
            <w:vAlign w:val="center"/>
          </w:tcPr>
          <w:p w14:paraId="62124D40">
            <w:pPr>
              <w:widowControl/>
              <w:spacing w:line="220" w:lineRule="exact"/>
              <w:jc w:val="center"/>
              <w:rPr>
                <w:rFonts w:hint="eastAsia" w:ascii="仿宋" w:hAnsi="仿宋" w:eastAsia="仿宋" w:cs="仿宋"/>
                <w:color w:val="auto"/>
                <w:sz w:val="18"/>
                <w:szCs w:val="18"/>
              </w:rPr>
            </w:pPr>
          </w:p>
        </w:tc>
        <w:tc>
          <w:tcPr>
            <w:tcW w:w="929" w:type="dxa"/>
            <w:vMerge w:val="continue"/>
            <w:tcBorders>
              <w:top w:val="single" w:color="auto" w:sz="4" w:space="0"/>
              <w:left w:val="single" w:color="auto" w:sz="4" w:space="0"/>
              <w:bottom w:val="single" w:color="auto" w:sz="4" w:space="0"/>
              <w:right w:val="single" w:color="auto" w:sz="4" w:space="0"/>
            </w:tcBorders>
            <w:vAlign w:val="center"/>
          </w:tcPr>
          <w:p w14:paraId="73C1DF51">
            <w:pPr>
              <w:widowControl/>
              <w:spacing w:line="220" w:lineRule="exact"/>
              <w:jc w:val="center"/>
              <w:rPr>
                <w:rFonts w:hint="eastAsia" w:ascii="仿宋" w:hAnsi="仿宋" w:eastAsia="仿宋" w:cs="仿宋"/>
                <w:color w:val="auto"/>
                <w:sz w:val="18"/>
                <w:szCs w:val="18"/>
              </w:rPr>
            </w:pPr>
          </w:p>
        </w:tc>
        <w:tc>
          <w:tcPr>
            <w:tcW w:w="795" w:type="dxa"/>
            <w:vMerge w:val="continue"/>
            <w:tcBorders>
              <w:top w:val="single" w:color="auto" w:sz="4" w:space="0"/>
              <w:left w:val="single" w:color="auto" w:sz="4" w:space="0"/>
              <w:bottom w:val="single" w:color="auto" w:sz="4" w:space="0"/>
              <w:right w:val="single" w:color="auto" w:sz="4" w:space="0"/>
            </w:tcBorders>
            <w:vAlign w:val="center"/>
          </w:tcPr>
          <w:p w14:paraId="4849DFCC">
            <w:pPr>
              <w:widowControl/>
              <w:spacing w:line="220" w:lineRule="exact"/>
              <w:jc w:val="center"/>
              <w:rPr>
                <w:rFonts w:hint="eastAsia" w:ascii="仿宋" w:hAnsi="仿宋" w:eastAsia="仿宋" w:cs="仿宋"/>
                <w:color w:val="auto"/>
                <w:sz w:val="18"/>
                <w:szCs w:val="18"/>
              </w:rPr>
            </w:pPr>
          </w:p>
        </w:tc>
        <w:tc>
          <w:tcPr>
            <w:tcW w:w="90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F53771">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容积率</w:t>
            </w:r>
          </w:p>
        </w:tc>
        <w:tc>
          <w:tcPr>
            <w:tcW w:w="89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592B785">
            <w:pPr>
              <w:spacing w:line="220" w:lineRule="exact"/>
              <w:ind w:firstLine="90" w:firstLineChars="50"/>
              <w:jc w:val="center"/>
              <w:rPr>
                <w:rFonts w:hint="eastAsia" w:ascii="仿宋" w:hAnsi="仿宋" w:eastAsia="仿宋" w:cs="仿宋"/>
                <w:color w:val="auto"/>
                <w:sz w:val="18"/>
                <w:szCs w:val="18"/>
              </w:rPr>
            </w:pPr>
            <w:r>
              <w:rPr>
                <w:rFonts w:hint="eastAsia" w:ascii="仿宋" w:hAnsi="仿宋" w:eastAsia="仿宋" w:cs="仿宋"/>
                <w:color w:val="auto"/>
                <w:sz w:val="18"/>
                <w:szCs w:val="18"/>
              </w:rPr>
              <w:t>建筑</w:t>
            </w:r>
          </w:p>
          <w:p w14:paraId="359DC5B6">
            <w:pPr>
              <w:spacing w:line="220" w:lineRule="exact"/>
              <w:ind w:firstLine="90" w:firstLineChars="50"/>
              <w:jc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密度</w:t>
            </w:r>
          </w:p>
          <w:p w14:paraId="3A59212D">
            <w:pPr>
              <w:spacing w:line="220" w:lineRule="exact"/>
              <w:ind w:firstLine="90" w:firstLineChars="50"/>
              <w:jc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（系数）</w:t>
            </w:r>
          </w:p>
          <w:p w14:paraId="7645E15F">
            <w:pPr>
              <w:spacing w:line="220" w:lineRule="exact"/>
              <w:ind w:firstLine="90" w:firstLineChars="50"/>
              <w:jc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c>
          <w:tcPr>
            <w:tcW w:w="5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A7720B7">
            <w:pPr>
              <w:spacing w:line="220" w:lineRule="exact"/>
              <w:jc w:val="center"/>
              <w:rPr>
                <w:rFonts w:hint="eastAsia" w:ascii="仿宋" w:hAnsi="仿宋" w:eastAsia="仿宋" w:cs="仿宋"/>
                <w:color w:val="auto"/>
                <w:sz w:val="18"/>
                <w:szCs w:val="18"/>
              </w:rPr>
            </w:pPr>
            <w:r>
              <w:rPr>
                <w:rFonts w:hint="eastAsia" w:ascii="仿宋" w:hAnsi="仿宋" w:eastAsia="仿宋" w:cs="仿宋"/>
                <w:color w:val="auto"/>
                <w:sz w:val="18"/>
                <w:szCs w:val="18"/>
              </w:rPr>
              <w:t>绿地率(%)</w:t>
            </w:r>
          </w:p>
        </w:tc>
        <w:tc>
          <w:tcPr>
            <w:tcW w:w="888" w:type="dxa"/>
            <w:vMerge w:val="continue"/>
            <w:tcBorders>
              <w:top w:val="single" w:color="auto" w:sz="4" w:space="0"/>
              <w:left w:val="single" w:color="auto" w:sz="4" w:space="0"/>
              <w:bottom w:val="single" w:color="auto" w:sz="4" w:space="0"/>
              <w:right w:val="single" w:color="auto" w:sz="4" w:space="0"/>
            </w:tcBorders>
            <w:vAlign w:val="center"/>
          </w:tcPr>
          <w:p w14:paraId="756A6CF5">
            <w:pPr>
              <w:widowControl/>
              <w:spacing w:line="220" w:lineRule="exact"/>
              <w:jc w:val="center"/>
              <w:rPr>
                <w:rFonts w:hint="eastAsia" w:ascii="仿宋" w:hAnsi="仿宋" w:eastAsia="仿宋" w:cs="仿宋"/>
                <w:color w:val="auto"/>
                <w:sz w:val="18"/>
                <w:szCs w:val="18"/>
              </w:rPr>
            </w:pPr>
          </w:p>
        </w:tc>
        <w:tc>
          <w:tcPr>
            <w:tcW w:w="712" w:type="dxa"/>
            <w:vMerge w:val="continue"/>
            <w:tcBorders>
              <w:top w:val="single" w:color="auto" w:sz="4" w:space="0"/>
              <w:left w:val="single" w:color="auto" w:sz="4" w:space="0"/>
              <w:bottom w:val="single" w:color="auto" w:sz="4" w:space="0"/>
              <w:right w:val="single" w:color="auto" w:sz="4" w:space="0"/>
            </w:tcBorders>
            <w:vAlign w:val="center"/>
          </w:tcPr>
          <w:p w14:paraId="69B0FE48">
            <w:pPr>
              <w:widowControl/>
              <w:spacing w:line="220" w:lineRule="exact"/>
              <w:jc w:val="center"/>
              <w:rPr>
                <w:rFonts w:hint="eastAsia" w:ascii="仿宋" w:hAnsi="仿宋" w:eastAsia="仿宋" w:cs="仿宋"/>
                <w:color w:val="auto"/>
                <w:sz w:val="18"/>
                <w:szCs w:val="18"/>
              </w:rPr>
            </w:pPr>
          </w:p>
        </w:tc>
        <w:tc>
          <w:tcPr>
            <w:tcW w:w="689" w:type="dxa"/>
            <w:vMerge w:val="continue"/>
            <w:tcBorders>
              <w:top w:val="single" w:color="auto" w:sz="4" w:space="0"/>
              <w:left w:val="single" w:color="auto" w:sz="4" w:space="0"/>
              <w:bottom w:val="single" w:color="auto" w:sz="4" w:space="0"/>
              <w:right w:val="single" w:color="auto" w:sz="4" w:space="0"/>
            </w:tcBorders>
            <w:vAlign w:val="center"/>
          </w:tcPr>
          <w:p w14:paraId="15091A29">
            <w:pPr>
              <w:widowControl/>
              <w:spacing w:line="220" w:lineRule="exact"/>
              <w:jc w:val="center"/>
              <w:rPr>
                <w:rFonts w:hint="eastAsia" w:ascii="仿宋" w:hAnsi="仿宋" w:eastAsia="仿宋" w:cs="仿宋"/>
                <w:color w:val="auto"/>
                <w:sz w:val="18"/>
                <w:szCs w:val="18"/>
              </w:rPr>
            </w:pPr>
          </w:p>
        </w:tc>
      </w:tr>
      <w:tr w14:paraId="5A019A15">
        <w:tblPrEx>
          <w:tblCellMar>
            <w:top w:w="0" w:type="dxa"/>
            <w:left w:w="0" w:type="dxa"/>
            <w:bottom w:w="0" w:type="dxa"/>
            <w:right w:w="0" w:type="dxa"/>
          </w:tblCellMar>
        </w:tblPrEx>
        <w:trPr>
          <w:cantSplit/>
          <w:trHeight w:val="93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7FBB152">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G26037</w:t>
            </w:r>
          </w:p>
        </w:tc>
        <w:tc>
          <w:tcPr>
            <w:tcW w:w="1686" w:type="dxa"/>
            <w:tcBorders>
              <w:top w:val="single" w:color="auto" w:sz="4" w:space="0"/>
              <w:left w:val="single" w:color="auto" w:sz="4" w:space="0"/>
              <w:bottom w:val="single" w:color="auto" w:sz="4" w:space="0"/>
              <w:right w:val="single" w:color="auto" w:sz="4" w:space="0"/>
            </w:tcBorders>
            <w:shd w:val="clear" w:color="auto" w:fill="auto"/>
            <w:vAlign w:val="center"/>
          </w:tcPr>
          <w:p w14:paraId="5F11F9FB">
            <w:pPr>
              <w:spacing w:line="240" w:lineRule="exact"/>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高铁大道西侧、罗家井路南侧、茁壮路东侧B地块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B08C559">
            <w:pPr>
              <w:spacing w:line="240" w:lineRule="exact"/>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10458.78</w:t>
            </w:r>
          </w:p>
        </w:tc>
        <w:tc>
          <w:tcPr>
            <w:tcW w:w="929" w:type="dxa"/>
            <w:tcBorders>
              <w:top w:val="single" w:color="auto" w:sz="4" w:space="0"/>
              <w:left w:val="single" w:color="auto" w:sz="4" w:space="0"/>
              <w:bottom w:val="single" w:color="auto" w:sz="4" w:space="0"/>
              <w:right w:val="single" w:color="auto" w:sz="4" w:space="0"/>
            </w:tcBorders>
            <w:shd w:val="clear" w:color="auto" w:fill="auto"/>
            <w:vAlign w:val="center"/>
          </w:tcPr>
          <w:p w14:paraId="02CB9D28">
            <w:pPr>
              <w:spacing w:line="240" w:lineRule="exact"/>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10108.78</w:t>
            </w:r>
          </w:p>
        </w:tc>
        <w:tc>
          <w:tcPr>
            <w:tcW w:w="795" w:type="dxa"/>
            <w:tcBorders>
              <w:top w:val="single" w:color="auto" w:sz="4" w:space="0"/>
              <w:left w:val="single" w:color="auto" w:sz="4" w:space="0"/>
              <w:bottom w:val="single" w:color="auto" w:sz="4" w:space="0"/>
              <w:right w:val="single" w:color="auto" w:sz="4" w:space="0"/>
            </w:tcBorders>
            <w:shd w:val="clear" w:color="auto" w:fill="auto"/>
            <w:vAlign w:val="center"/>
          </w:tcPr>
          <w:p w14:paraId="35846872">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商业用地</w:t>
            </w:r>
          </w:p>
        </w:tc>
        <w:tc>
          <w:tcPr>
            <w:tcW w:w="9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8A305E">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R≤1.2</w:t>
            </w:r>
          </w:p>
        </w:tc>
        <w:tc>
          <w:tcPr>
            <w:tcW w:w="89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D554C3A">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≤45</w:t>
            </w:r>
          </w:p>
        </w:tc>
        <w:tc>
          <w:tcPr>
            <w:tcW w:w="57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AD9E20A">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≥20</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28651BBD">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商服40年</w:t>
            </w:r>
          </w:p>
        </w:tc>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2AB48487">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490</w:t>
            </w: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5424EE6C">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2450</w:t>
            </w:r>
          </w:p>
        </w:tc>
      </w:tr>
      <w:tr w14:paraId="3106140E">
        <w:tblPrEx>
          <w:tblCellMar>
            <w:top w:w="0" w:type="dxa"/>
            <w:left w:w="0" w:type="dxa"/>
            <w:bottom w:w="0" w:type="dxa"/>
            <w:right w:w="0" w:type="dxa"/>
          </w:tblCellMar>
        </w:tblPrEx>
        <w:trPr>
          <w:cantSplit/>
          <w:trHeight w:val="93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AC1DC09">
            <w:pPr>
              <w:jc w:val="center"/>
              <w:rPr>
                <w:rFonts w:hint="default"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G26038</w:t>
            </w:r>
          </w:p>
        </w:tc>
        <w:tc>
          <w:tcPr>
            <w:tcW w:w="1686" w:type="dxa"/>
            <w:tcBorders>
              <w:top w:val="single" w:color="auto" w:sz="4" w:space="0"/>
              <w:left w:val="single" w:color="auto" w:sz="4" w:space="0"/>
              <w:bottom w:val="single" w:color="auto" w:sz="4" w:space="0"/>
              <w:right w:val="single" w:color="auto" w:sz="4" w:space="0"/>
            </w:tcBorders>
            <w:shd w:val="clear" w:color="auto" w:fill="auto"/>
            <w:vAlign w:val="center"/>
          </w:tcPr>
          <w:p w14:paraId="233980B8">
            <w:pPr>
              <w:spacing w:line="240" w:lineRule="exact"/>
              <w:jc w:val="center"/>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大冶南岸文化新区金海大道以南、傅公路以西地块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915DBCB">
            <w:pPr>
              <w:spacing w:line="240" w:lineRule="exact"/>
              <w:jc w:val="center"/>
              <w:rPr>
                <w:rFonts w:hint="default"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37603.79</w:t>
            </w:r>
          </w:p>
        </w:tc>
        <w:tc>
          <w:tcPr>
            <w:tcW w:w="929" w:type="dxa"/>
            <w:tcBorders>
              <w:top w:val="single" w:color="auto" w:sz="4" w:space="0"/>
              <w:left w:val="single" w:color="auto" w:sz="4" w:space="0"/>
              <w:bottom w:val="single" w:color="auto" w:sz="4" w:space="0"/>
              <w:right w:val="single" w:color="auto" w:sz="4" w:space="0"/>
            </w:tcBorders>
            <w:shd w:val="clear" w:color="auto" w:fill="auto"/>
            <w:vAlign w:val="center"/>
          </w:tcPr>
          <w:p w14:paraId="0C561733">
            <w:pPr>
              <w:spacing w:line="240" w:lineRule="exact"/>
              <w:jc w:val="center"/>
              <w:rPr>
                <w:rFonts w:hint="default"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35751.53</w:t>
            </w:r>
          </w:p>
        </w:tc>
        <w:tc>
          <w:tcPr>
            <w:tcW w:w="795" w:type="dxa"/>
            <w:tcBorders>
              <w:top w:val="single" w:color="auto" w:sz="4" w:space="0"/>
              <w:left w:val="single" w:color="auto" w:sz="4" w:space="0"/>
              <w:bottom w:val="single" w:color="auto" w:sz="4" w:space="0"/>
              <w:right w:val="single" w:color="auto" w:sz="4" w:space="0"/>
            </w:tcBorders>
            <w:shd w:val="clear" w:color="auto" w:fill="auto"/>
            <w:vAlign w:val="center"/>
          </w:tcPr>
          <w:p w14:paraId="1FF55A4F">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二类城镇住宅用地</w:t>
            </w:r>
          </w:p>
        </w:tc>
        <w:tc>
          <w:tcPr>
            <w:tcW w:w="9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210BC42">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R≤1.5（商业≤5%）</w:t>
            </w:r>
          </w:p>
        </w:tc>
        <w:tc>
          <w:tcPr>
            <w:tcW w:w="89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0DB4B4">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≤35</w:t>
            </w:r>
          </w:p>
        </w:tc>
        <w:tc>
          <w:tcPr>
            <w:tcW w:w="57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2FBBB02">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≥30</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3B1BF275">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住宅70年</w:t>
            </w:r>
          </w:p>
        </w:tc>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7F5919C2">
            <w:pPr>
              <w:jc w:val="center"/>
              <w:rPr>
                <w:rFonts w:hint="default"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1290</w:t>
            </w: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366BFF5D">
            <w:pPr>
              <w:jc w:val="center"/>
              <w:rPr>
                <w:rFonts w:hint="default"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6450</w:t>
            </w:r>
          </w:p>
        </w:tc>
      </w:tr>
      <w:tr w14:paraId="5F6B7F0A">
        <w:tblPrEx>
          <w:tblCellMar>
            <w:top w:w="0" w:type="dxa"/>
            <w:left w:w="0" w:type="dxa"/>
            <w:bottom w:w="0" w:type="dxa"/>
            <w:right w:w="0" w:type="dxa"/>
          </w:tblCellMar>
        </w:tblPrEx>
        <w:trPr>
          <w:cantSplit/>
          <w:trHeight w:val="93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E371444">
            <w:pPr>
              <w:jc w:val="center"/>
              <w:rPr>
                <w:rFonts w:hint="default"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G26039</w:t>
            </w:r>
          </w:p>
        </w:tc>
        <w:tc>
          <w:tcPr>
            <w:tcW w:w="1686" w:type="dxa"/>
            <w:tcBorders>
              <w:top w:val="single" w:color="auto" w:sz="4" w:space="0"/>
              <w:left w:val="single" w:color="auto" w:sz="4" w:space="0"/>
              <w:bottom w:val="single" w:color="auto" w:sz="4" w:space="0"/>
              <w:right w:val="single" w:color="auto" w:sz="4" w:space="0"/>
            </w:tcBorders>
            <w:shd w:val="clear" w:color="auto" w:fill="auto"/>
            <w:vAlign w:val="center"/>
          </w:tcPr>
          <w:p w14:paraId="279EC6C4">
            <w:pPr>
              <w:spacing w:line="240" w:lineRule="exact"/>
              <w:jc w:val="center"/>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大冶南岸文化新区海雅路北侧、顶坜路东侧地块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41E8C1A">
            <w:pPr>
              <w:spacing w:line="240" w:lineRule="exact"/>
              <w:jc w:val="center"/>
              <w:rPr>
                <w:rFonts w:hint="default"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52150.28</w:t>
            </w:r>
          </w:p>
        </w:tc>
        <w:tc>
          <w:tcPr>
            <w:tcW w:w="929" w:type="dxa"/>
            <w:tcBorders>
              <w:top w:val="single" w:color="auto" w:sz="4" w:space="0"/>
              <w:left w:val="single" w:color="auto" w:sz="4" w:space="0"/>
              <w:bottom w:val="single" w:color="auto" w:sz="4" w:space="0"/>
              <w:right w:val="single" w:color="auto" w:sz="4" w:space="0"/>
            </w:tcBorders>
            <w:shd w:val="clear" w:color="auto" w:fill="auto"/>
            <w:vAlign w:val="center"/>
          </w:tcPr>
          <w:p w14:paraId="3CB4C0A2">
            <w:pPr>
              <w:spacing w:line="240" w:lineRule="exact"/>
              <w:jc w:val="center"/>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45763.83</w:t>
            </w:r>
          </w:p>
        </w:tc>
        <w:tc>
          <w:tcPr>
            <w:tcW w:w="795" w:type="dxa"/>
            <w:tcBorders>
              <w:top w:val="single" w:color="auto" w:sz="4" w:space="0"/>
              <w:left w:val="single" w:color="auto" w:sz="4" w:space="0"/>
              <w:bottom w:val="single" w:color="auto" w:sz="4" w:space="0"/>
              <w:right w:val="single" w:color="auto" w:sz="4" w:space="0"/>
            </w:tcBorders>
            <w:shd w:val="clear" w:color="auto" w:fill="auto"/>
            <w:vAlign w:val="center"/>
          </w:tcPr>
          <w:p w14:paraId="16D3C321">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二类城镇住宅用地</w:t>
            </w:r>
          </w:p>
        </w:tc>
        <w:tc>
          <w:tcPr>
            <w:tcW w:w="9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A626421">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R≤1.2（商业≤10%）</w:t>
            </w:r>
          </w:p>
        </w:tc>
        <w:tc>
          <w:tcPr>
            <w:tcW w:w="89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BC76291">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≤35</w:t>
            </w:r>
          </w:p>
        </w:tc>
        <w:tc>
          <w:tcPr>
            <w:tcW w:w="57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36F991F">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≥30</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110DBFD1">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住宅70年</w:t>
            </w:r>
          </w:p>
        </w:tc>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7C48987A">
            <w:pPr>
              <w:jc w:val="center"/>
              <w:rPr>
                <w:rFonts w:hint="default"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1350</w:t>
            </w: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7E263A7F">
            <w:pPr>
              <w:jc w:val="center"/>
              <w:rPr>
                <w:rFonts w:hint="default"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6750</w:t>
            </w:r>
          </w:p>
        </w:tc>
      </w:tr>
      <w:tr w14:paraId="398C986E">
        <w:tblPrEx>
          <w:tblCellMar>
            <w:top w:w="0" w:type="dxa"/>
            <w:left w:w="0" w:type="dxa"/>
            <w:bottom w:w="0" w:type="dxa"/>
            <w:right w:w="0" w:type="dxa"/>
          </w:tblCellMar>
        </w:tblPrEx>
        <w:trPr>
          <w:cantSplit/>
          <w:trHeight w:val="93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66B669C">
            <w:pPr>
              <w:jc w:val="center"/>
              <w:rPr>
                <w:rFonts w:hint="default"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G26040</w:t>
            </w:r>
          </w:p>
        </w:tc>
        <w:tc>
          <w:tcPr>
            <w:tcW w:w="1686" w:type="dxa"/>
            <w:tcBorders>
              <w:top w:val="single" w:color="auto" w:sz="4" w:space="0"/>
              <w:left w:val="single" w:color="auto" w:sz="4" w:space="0"/>
              <w:bottom w:val="single" w:color="auto" w:sz="4" w:space="0"/>
              <w:right w:val="single" w:color="auto" w:sz="4" w:space="0"/>
            </w:tcBorders>
            <w:shd w:val="clear" w:color="auto" w:fill="auto"/>
            <w:vAlign w:val="center"/>
          </w:tcPr>
          <w:p w14:paraId="6140A1CE">
            <w:pPr>
              <w:spacing w:line="240" w:lineRule="exact"/>
              <w:jc w:val="center"/>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金井路以西、大冶农业科学研究所以东A地块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8BBB372">
            <w:pPr>
              <w:spacing w:line="240" w:lineRule="exact"/>
              <w:jc w:val="center"/>
              <w:rPr>
                <w:rFonts w:hint="default"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4381.09</w:t>
            </w:r>
          </w:p>
        </w:tc>
        <w:tc>
          <w:tcPr>
            <w:tcW w:w="929" w:type="dxa"/>
            <w:tcBorders>
              <w:top w:val="single" w:color="auto" w:sz="4" w:space="0"/>
              <w:left w:val="single" w:color="auto" w:sz="4" w:space="0"/>
              <w:bottom w:val="single" w:color="auto" w:sz="4" w:space="0"/>
              <w:right w:val="single" w:color="auto" w:sz="4" w:space="0"/>
            </w:tcBorders>
            <w:shd w:val="clear" w:color="auto" w:fill="auto"/>
            <w:vAlign w:val="center"/>
          </w:tcPr>
          <w:p w14:paraId="08E812B5">
            <w:pPr>
              <w:spacing w:line="240" w:lineRule="exact"/>
              <w:jc w:val="center"/>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3432.81</w:t>
            </w:r>
          </w:p>
        </w:tc>
        <w:tc>
          <w:tcPr>
            <w:tcW w:w="795" w:type="dxa"/>
            <w:tcBorders>
              <w:top w:val="single" w:color="auto" w:sz="4" w:space="0"/>
              <w:left w:val="single" w:color="auto" w:sz="4" w:space="0"/>
              <w:bottom w:val="single" w:color="auto" w:sz="4" w:space="0"/>
              <w:right w:val="single" w:color="auto" w:sz="4" w:space="0"/>
            </w:tcBorders>
            <w:shd w:val="clear" w:color="auto" w:fill="auto"/>
            <w:vAlign w:val="center"/>
          </w:tcPr>
          <w:p w14:paraId="420D9BFE">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商业用地</w:t>
            </w:r>
          </w:p>
        </w:tc>
        <w:tc>
          <w:tcPr>
            <w:tcW w:w="9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26FB9DD">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R≤2.0</w:t>
            </w:r>
          </w:p>
        </w:tc>
        <w:tc>
          <w:tcPr>
            <w:tcW w:w="89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E4C85A0">
            <w:pPr>
              <w:jc w:val="center"/>
              <w:rPr>
                <w:rFonts w:hint="default"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≤45</w:t>
            </w:r>
          </w:p>
        </w:tc>
        <w:tc>
          <w:tcPr>
            <w:tcW w:w="57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E885B11">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≥20</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6A9DAD71">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商服40年</w:t>
            </w:r>
          </w:p>
        </w:tc>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57A7AC06">
            <w:pPr>
              <w:jc w:val="center"/>
              <w:rPr>
                <w:rFonts w:hint="default"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154</w:t>
            </w: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1EB45037">
            <w:pPr>
              <w:jc w:val="center"/>
              <w:rPr>
                <w:rFonts w:hint="default"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770</w:t>
            </w:r>
          </w:p>
        </w:tc>
      </w:tr>
      <w:tr w14:paraId="3213807B">
        <w:tblPrEx>
          <w:tblCellMar>
            <w:top w:w="0" w:type="dxa"/>
            <w:left w:w="0" w:type="dxa"/>
            <w:bottom w:w="0" w:type="dxa"/>
            <w:right w:w="0" w:type="dxa"/>
          </w:tblCellMar>
        </w:tblPrEx>
        <w:trPr>
          <w:cantSplit/>
          <w:trHeight w:val="93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9ED326E">
            <w:pPr>
              <w:jc w:val="center"/>
              <w:rPr>
                <w:rFonts w:hint="default"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G26041</w:t>
            </w:r>
          </w:p>
        </w:tc>
        <w:tc>
          <w:tcPr>
            <w:tcW w:w="1686" w:type="dxa"/>
            <w:tcBorders>
              <w:top w:val="single" w:color="auto" w:sz="4" w:space="0"/>
              <w:left w:val="single" w:color="auto" w:sz="4" w:space="0"/>
              <w:bottom w:val="single" w:color="auto" w:sz="4" w:space="0"/>
              <w:right w:val="single" w:color="auto" w:sz="4" w:space="0"/>
            </w:tcBorders>
            <w:shd w:val="clear" w:color="auto" w:fill="auto"/>
            <w:vAlign w:val="center"/>
          </w:tcPr>
          <w:p w14:paraId="36D43711">
            <w:pPr>
              <w:spacing w:line="240" w:lineRule="exact"/>
              <w:jc w:val="center"/>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金井路以西、大冶农业科学研究所以东B地块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9FD8F11">
            <w:pPr>
              <w:spacing w:line="240" w:lineRule="exact"/>
              <w:jc w:val="center"/>
              <w:rPr>
                <w:rFonts w:hint="default"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4068.95</w:t>
            </w:r>
          </w:p>
        </w:tc>
        <w:tc>
          <w:tcPr>
            <w:tcW w:w="929" w:type="dxa"/>
            <w:tcBorders>
              <w:top w:val="single" w:color="auto" w:sz="4" w:space="0"/>
              <w:left w:val="single" w:color="auto" w:sz="4" w:space="0"/>
              <w:bottom w:val="single" w:color="auto" w:sz="4" w:space="0"/>
              <w:right w:val="single" w:color="auto" w:sz="4" w:space="0"/>
            </w:tcBorders>
            <w:shd w:val="clear" w:color="auto" w:fill="auto"/>
            <w:vAlign w:val="center"/>
          </w:tcPr>
          <w:p w14:paraId="181B9578">
            <w:pPr>
              <w:spacing w:line="240" w:lineRule="exact"/>
              <w:jc w:val="center"/>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2997.37</w:t>
            </w:r>
          </w:p>
        </w:tc>
        <w:tc>
          <w:tcPr>
            <w:tcW w:w="795" w:type="dxa"/>
            <w:tcBorders>
              <w:top w:val="single" w:color="auto" w:sz="4" w:space="0"/>
              <w:left w:val="single" w:color="auto" w:sz="4" w:space="0"/>
              <w:bottom w:val="single" w:color="auto" w:sz="4" w:space="0"/>
              <w:right w:val="single" w:color="auto" w:sz="4" w:space="0"/>
            </w:tcBorders>
            <w:shd w:val="clear" w:color="auto" w:fill="auto"/>
            <w:vAlign w:val="center"/>
          </w:tcPr>
          <w:p w14:paraId="34419AF6">
            <w:pPr>
              <w:jc w:val="center"/>
              <w:rPr>
                <w:rFonts w:hint="default"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商业用地</w:t>
            </w:r>
          </w:p>
        </w:tc>
        <w:tc>
          <w:tcPr>
            <w:tcW w:w="9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7332E35">
            <w:pPr>
              <w:jc w:val="center"/>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R≤2.0</w:t>
            </w:r>
          </w:p>
        </w:tc>
        <w:tc>
          <w:tcPr>
            <w:tcW w:w="89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59BD672">
            <w:pPr>
              <w:jc w:val="center"/>
              <w:rPr>
                <w:rFonts w:hint="default"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≤45</w:t>
            </w:r>
          </w:p>
        </w:tc>
        <w:tc>
          <w:tcPr>
            <w:tcW w:w="57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E922665">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sz w:val="18"/>
                <w:szCs w:val="18"/>
                <w:lang w:val="en-US" w:eastAsia="zh-CN"/>
              </w:rPr>
              <w:t>≥20</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33C5E759">
            <w:pPr>
              <w:jc w:val="center"/>
              <w:rPr>
                <w:rFonts w:hint="default"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商服40年</w:t>
            </w:r>
          </w:p>
        </w:tc>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2EFE2273">
            <w:pPr>
              <w:jc w:val="center"/>
              <w:rPr>
                <w:rFonts w:hint="default"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134</w:t>
            </w: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14CD937A">
            <w:pPr>
              <w:jc w:val="center"/>
              <w:rPr>
                <w:rFonts w:hint="default"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670</w:t>
            </w:r>
          </w:p>
        </w:tc>
      </w:tr>
      <w:tr w14:paraId="23261178">
        <w:tblPrEx>
          <w:tblCellMar>
            <w:top w:w="0" w:type="dxa"/>
            <w:left w:w="0" w:type="dxa"/>
            <w:bottom w:w="0" w:type="dxa"/>
            <w:right w:w="0" w:type="dxa"/>
          </w:tblCellMar>
        </w:tblPrEx>
        <w:trPr>
          <w:cantSplit/>
          <w:trHeight w:val="680" w:hRule="atLeast"/>
          <w:jc w:val="center"/>
        </w:trPr>
        <w:tc>
          <w:tcPr>
            <w:tcW w:w="97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57CC0244">
            <w:pPr>
              <w:jc w:val="both"/>
              <w:rPr>
                <w:rFonts w:hint="eastAsia" w:ascii="仿宋" w:hAnsi="仿宋" w:eastAsia="仿宋" w:cs="仿宋"/>
                <w:b w:val="0"/>
                <w:bCs w:val="0"/>
                <w:kern w:val="2"/>
                <w:sz w:val="18"/>
                <w:szCs w:val="18"/>
                <w:lang w:val="en-US" w:eastAsia="zh-CN" w:bidi="ar-SA"/>
              </w:rPr>
            </w:pPr>
            <w:r>
              <w:rPr>
                <w:rFonts w:hint="eastAsia" w:ascii="仿宋" w:hAnsi="仿宋" w:eastAsia="仿宋" w:cs="仿宋"/>
                <w:color w:val="auto"/>
                <w:sz w:val="18"/>
                <w:szCs w:val="18"/>
              </w:rPr>
              <w:t>规划计容建筑面积：</w:t>
            </w:r>
            <w:r>
              <w:rPr>
                <w:rFonts w:hint="eastAsia" w:ascii="仿宋" w:hAnsi="仿宋" w:eastAsia="仿宋" w:cs="仿宋"/>
                <w:color w:val="auto"/>
                <w:sz w:val="18"/>
                <w:szCs w:val="18"/>
                <w:highlight w:val="none"/>
                <w:lang w:val="en-US" w:eastAsia="zh-CN"/>
              </w:rPr>
              <w:t>G26037≤12130㎡；G26038≤53627㎡；G26039≤54916㎡；G26040≤6865㎡；G26041≤5994㎡。</w:t>
            </w:r>
          </w:p>
        </w:tc>
      </w:tr>
    </w:tbl>
    <w:p w14:paraId="4D02DDC4">
      <w:pPr>
        <w:spacing w:line="540" w:lineRule="exact"/>
        <w:ind w:firstLine="640" w:firstLineChars="200"/>
        <w:rPr>
          <w:rFonts w:hint="eastAsia" w:ascii="仿宋" w:hAnsi="仿宋" w:eastAsia="仿宋"/>
          <w:color w:val="auto"/>
          <w:sz w:val="32"/>
          <w:highlight w:val="none"/>
        </w:rPr>
      </w:pPr>
      <w:r>
        <w:rPr>
          <w:rFonts w:hint="eastAsia" w:ascii="仿宋" w:hAnsi="仿宋" w:eastAsia="仿宋"/>
          <w:color w:val="auto"/>
          <w:sz w:val="32"/>
        </w:rPr>
        <w:t>四、</w:t>
      </w:r>
      <w:r>
        <w:rPr>
          <w:rFonts w:hint="eastAsia" w:ascii="仿宋" w:hAnsi="仿宋" w:eastAsia="仿宋"/>
          <w:color w:val="auto"/>
          <w:sz w:val="32"/>
          <w:highlight w:val="none"/>
        </w:rPr>
        <w:t>特别约定</w:t>
      </w:r>
    </w:p>
    <w:p w14:paraId="29D7B69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olor w:val="auto"/>
          <w:sz w:val="32"/>
          <w:szCs w:val="32"/>
          <w:highlight w:val="none"/>
          <w:lang w:eastAsia="zh-CN"/>
        </w:rPr>
      </w:pPr>
      <w:r>
        <w:rPr>
          <w:rFonts w:hint="eastAsia" w:ascii="仿宋" w:hAnsi="仿宋" w:eastAsia="仿宋" w:cs="Times New Roman"/>
          <w:color w:val="auto"/>
          <w:kern w:val="2"/>
          <w:sz w:val="32"/>
          <w:szCs w:val="32"/>
          <w:lang w:val="en-US" w:eastAsia="zh-CN" w:bidi="ar-SA"/>
        </w:rPr>
        <w:t>（一</w:t>
      </w:r>
      <w:r>
        <w:rPr>
          <w:rFonts w:hint="eastAsia" w:ascii="仿宋" w:hAnsi="仿宋" w:eastAsia="仿宋" w:cs="Times New Roman"/>
          <w:b w:val="0"/>
          <w:bCs w:val="0"/>
          <w:color w:val="auto"/>
          <w:kern w:val="2"/>
          <w:sz w:val="32"/>
          <w:szCs w:val="32"/>
          <w:lang w:val="en-US" w:eastAsia="zh-CN" w:bidi="ar-SA"/>
        </w:rPr>
        <w:t>）</w:t>
      </w:r>
      <w:r>
        <w:rPr>
          <w:rFonts w:hint="eastAsia" w:ascii="仿宋" w:hAnsi="仿宋" w:eastAsia="仿宋"/>
          <w:color w:val="auto"/>
          <w:sz w:val="32"/>
          <w:szCs w:val="32"/>
        </w:rPr>
        <w:t>土地开发程度：</w:t>
      </w:r>
      <w:r>
        <w:rPr>
          <w:rFonts w:hint="eastAsia" w:ascii="仿宋" w:hAnsi="仿宋" w:eastAsia="仿宋"/>
          <w:color w:val="auto"/>
          <w:sz w:val="32"/>
          <w:szCs w:val="32"/>
          <w:highlight w:val="none"/>
          <w:lang w:val="en-US" w:eastAsia="zh-CN"/>
        </w:rPr>
        <w:t>地块</w:t>
      </w:r>
      <w:r>
        <w:rPr>
          <w:rFonts w:hint="eastAsia" w:ascii="仿宋" w:hAnsi="仿宋" w:eastAsia="仿宋"/>
          <w:color w:val="auto"/>
          <w:sz w:val="32"/>
          <w:szCs w:val="32"/>
          <w:highlight w:val="none"/>
        </w:rPr>
        <w:t>外</w:t>
      </w:r>
      <w:r>
        <w:rPr>
          <w:rFonts w:hint="eastAsia" w:ascii="仿宋" w:hAnsi="仿宋" w:eastAsia="仿宋"/>
          <w:color w:val="auto"/>
          <w:sz w:val="32"/>
          <w:szCs w:val="32"/>
          <w:highlight w:val="none"/>
          <w:lang w:val="en-US" w:eastAsia="zh-CN"/>
        </w:rPr>
        <w:t>五</w:t>
      </w:r>
      <w:r>
        <w:rPr>
          <w:rFonts w:hint="eastAsia" w:ascii="仿宋" w:hAnsi="仿宋" w:eastAsia="仿宋"/>
          <w:color w:val="auto"/>
          <w:sz w:val="32"/>
          <w:szCs w:val="32"/>
          <w:highlight w:val="none"/>
        </w:rPr>
        <w:t>通，即通</w:t>
      </w:r>
      <w:r>
        <w:rPr>
          <w:rFonts w:hint="eastAsia" w:ascii="仿宋" w:hAnsi="仿宋" w:eastAsia="仿宋"/>
          <w:color w:val="auto"/>
          <w:sz w:val="32"/>
          <w:szCs w:val="32"/>
          <w:highlight w:val="none"/>
          <w:lang w:val="en-US" w:eastAsia="zh-CN"/>
        </w:rPr>
        <w:t>路</w:t>
      </w:r>
      <w:r>
        <w:rPr>
          <w:rFonts w:hint="eastAsia" w:ascii="仿宋" w:hAnsi="仿宋" w:eastAsia="仿宋"/>
          <w:color w:val="auto"/>
          <w:sz w:val="32"/>
          <w:szCs w:val="32"/>
          <w:highlight w:val="none"/>
        </w:rPr>
        <w:t>、通电、</w:t>
      </w:r>
      <w:r>
        <w:rPr>
          <w:rFonts w:hint="eastAsia" w:ascii="仿宋" w:hAnsi="仿宋" w:eastAsia="仿宋"/>
          <w:color w:val="auto"/>
          <w:sz w:val="32"/>
          <w:szCs w:val="32"/>
          <w:highlight w:val="none"/>
          <w:lang w:val="en-US" w:eastAsia="zh-CN"/>
        </w:rPr>
        <w:t>通讯、</w:t>
      </w:r>
      <w:r>
        <w:rPr>
          <w:rFonts w:hint="eastAsia" w:ascii="仿宋" w:hAnsi="仿宋" w:eastAsia="仿宋"/>
          <w:color w:val="auto"/>
          <w:sz w:val="32"/>
          <w:szCs w:val="32"/>
          <w:highlight w:val="none"/>
        </w:rPr>
        <w:t>通上水</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通下水</w:t>
      </w:r>
      <w:r>
        <w:rPr>
          <w:rFonts w:hint="eastAsia" w:ascii="仿宋" w:hAnsi="仿宋" w:eastAsia="仿宋"/>
          <w:color w:val="auto"/>
          <w:sz w:val="32"/>
          <w:szCs w:val="32"/>
          <w:highlight w:val="none"/>
        </w:rPr>
        <w:t>，宗地内场地现状交付</w:t>
      </w:r>
      <w:r>
        <w:rPr>
          <w:rFonts w:hint="eastAsia" w:ascii="仿宋" w:hAnsi="仿宋" w:eastAsia="仿宋"/>
          <w:color w:val="auto"/>
          <w:sz w:val="32"/>
          <w:szCs w:val="32"/>
          <w:highlight w:val="none"/>
          <w:lang w:eastAsia="zh-CN"/>
        </w:rPr>
        <w:t>。</w:t>
      </w:r>
    </w:p>
    <w:p w14:paraId="4E9C8E8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olor w:val="auto"/>
          <w:sz w:val="32"/>
          <w:szCs w:val="32"/>
          <w:highlight w:val="yellow"/>
          <w:lang w:val="en-US" w:eastAsia="zh-CN"/>
        </w:rPr>
      </w:pPr>
      <w:r>
        <w:rPr>
          <w:rFonts w:hint="eastAsia" w:ascii="仿宋" w:hAnsi="仿宋" w:eastAsia="仿宋" w:cs="Times New Roman"/>
          <w:color w:val="auto"/>
          <w:kern w:val="2"/>
          <w:sz w:val="32"/>
          <w:szCs w:val="32"/>
          <w:lang w:val="en-US" w:eastAsia="zh-CN" w:bidi="ar-SA"/>
        </w:rPr>
        <w:t>（二</w:t>
      </w:r>
      <w:r>
        <w:rPr>
          <w:rFonts w:hint="eastAsia" w:ascii="仿宋" w:hAnsi="仿宋" w:eastAsia="仿宋" w:cs="Times New Roman"/>
          <w:b w:val="0"/>
          <w:bCs w:val="0"/>
          <w:color w:val="auto"/>
          <w:kern w:val="2"/>
          <w:sz w:val="32"/>
          <w:szCs w:val="32"/>
          <w:lang w:val="en-US" w:eastAsia="zh-CN" w:bidi="ar-SA"/>
        </w:rPr>
        <w:t>）经自然资源和规划局实测和权属调查，上述宗地规划红线范围内征地拆迁安置工作已完成，并形成“净地”。</w:t>
      </w:r>
      <w:r>
        <w:rPr>
          <w:rFonts w:hint="eastAsia" w:ascii="仿宋" w:hAnsi="仿宋" w:eastAsia="仿宋" w:cs="Times New Roman"/>
          <w:b w:val="0"/>
          <w:bCs w:val="0"/>
          <w:color w:val="auto"/>
          <w:kern w:val="2"/>
          <w:sz w:val="32"/>
          <w:szCs w:val="32"/>
          <w:highlight w:val="none"/>
          <w:lang w:val="en-US" w:eastAsia="zh-CN" w:bidi="ar-SA"/>
        </w:rPr>
        <w:t>地块用地红线范围内涉及的征收补偿拆迁安置未到位所产生的经济纠纷、权属纠纷、信访调处等问题所造成的法律后果，</w:t>
      </w:r>
      <w:r>
        <w:rPr>
          <w:rFonts w:hint="eastAsia" w:ascii="仿宋" w:hAnsi="仿宋" w:eastAsia="仿宋" w:cs="Times New Roman"/>
          <w:b w:val="0"/>
          <w:bCs w:val="0"/>
          <w:color w:val="auto"/>
          <w:kern w:val="2"/>
          <w:sz w:val="32"/>
          <w:szCs w:val="32"/>
          <w:lang w:val="en-US" w:eastAsia="zh-CN" w:bidi="ar-SA"/>
        </w:rPr>
        <w:t>G26037号</w:t>
      </w:r>
      <w:r>
        <w:rPr>
          <w:rFonts w:hint="eastAsia" w:ascii="仿宋" w:hAnsi="仿宋" w:eastAsia="仿宋" w:cs="Times New Roman"/>
          <w:b w:val="0"/>
          <w:bCs w:val="0"/>
          <w:color w:val="auto"/>
          <w:kern w:val="2"/>
          <w:sz w:val="32"/>
          <w:szCs w:val="32"/>
          <w:highlight w:val="none"/>
          <w:lang w:val="en-US" w:eastAsia="zh-CN" w:bidi="ar-SA"/>
        </w:rPr>
        <w:t>地块由东岳路街道办事处负责，</w:t>
      </w:r>
      <w:r>
        <w:rPr>
          <w:rFonts w:hint="eastAsia" w:ascii="仿宋" w:hAnsi="仿宋" w:eastAsia="仿宋" w:cs="Times New Roman"/>
          <w:b w:val="0"/>
          <w:bCs w:val="0"/>
          <w:color w:val="auto"/>
          <w:kern w:val="2"/>
          <w:sz w:val="32"/>
          <w:szCs w:val="32"/>
          <w:lang w:val="en-US" w:eastAsia="zh-CN" w:bidi="ar-SA"/>
        </w:rPr>
        <w:t>G26038～G26039号</w:t>
      </w:r>
      <w:r>
        <w:rPr>
          <w:rFonts w:hint="eastAsia" w:ascii="仿宋" w:hAnsi="仿宋" w:eastAsia="仿宋" w:cs="Times New Roman"/>
          <w:b w:val="0"/>
          <w:bCs w:val="0"/>
          <w:color w:val="auto"/>
          <w:kern w:val="2"/>
          <w:sz w:val="32"/>
          <w:szCs w:val="32"/>
          <w:highlight w:val="none"/>
          <w:lang w:val="en-US" w:eastAsia="zh-CN" w:bidi="ar-SA"/>
        </w:rPr>
        <w:t>地块由大箕铺镇人民政府负责，</w:t>
      </w:r>
      <w:r>
        <w:rPr>
          <w:rFonts w:hint="eastAsia" w:ascii="仿宋" w:hAnsi="仿宋" w:eastAsia="仿宋" w:cs="Times New Roman"/>
          <w:b w:val="0"/>
          <w:bCs w:val="0"/>
          <w:color w:val="auto"/>
          <w:kern w:val="2"/>
          <w:sz w:val="32"/>
          <w:szCs w:val="32"/>
          <w:lang w:val="en-US" w:eastAsia="zh-CN" w:bidi="ar-SA"/>
        </w:rPr>
        <w:t>G26040～G26041号</w:t>
      </w:r>
      <w:r>
        <w:rPr>
          <w:rFonts w:hint="eastAsia" w:ascii="仿宋" w:hAnsi="仿宋" w:eastAsia="仿宋" w:cs="Times New Roman"/>
          <w:b w:val="0"/>
          <w:bCs w:val="0"/>
          <w:color w:val="auto"/>
          <w:kern w:val="2"/>
          <w:sz w:val="32"/>
          <w:szCs w:val="32"/>
          <w:highlight w:val="none"/>
          <w:lang w:val="en-US" w:eastAsia="zh-CN" w:bidi="ar-SA"/>
        </w:rPr>
        <w:t>地块由金湖街道办事处负责。</w:t>
      </w:r>
    </w:p>
    <w:p w14:paraId="6A8B1782">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Times New Roman"/>
          <w:b w:val="0"/>
          <w:bCs w:val="0"/>
          <w:color w:val="auto"/>
          <w:kern w:val="2"/>
          <w:sz w:val="32"/>
          <w:szCs w:val="32"/>
          <w:lang w:val="en-US" w:eastAsia="zh-CN" w:bidi="ar-SA"/>
        </w:rPr>
      </w:pPr>
      <w:r>
        <w:rPr>
          <w:rFonts w:hint="eastAsia" w:ascii="仿宋" w:hAnsi="仿宋" w:eastAsia="仿宋" w:cs="Times New Roman"/>
          <w:b w:val="0"/>
          <w:bCs w:val="0"/>
          <w:color w:val="auto"/>
          <w:kern w:val="2"/>
          <w:sz w:val="32"/>
          <w:szCs w:val="32"/>
          <w:lang w:val="en-US" w:eastAsia="zh-CN" w:bidi="ar-SA"/>
        </w:rPr>
        <w:t>（三）上述宗地挂牌出让成交后，竞得人应在成交之日起30日内与出让人签订《国有建设用地使用权出让合同》，按土地出让合同约定缴纳土地成交价款，并在签订出让合同后10个工作日内建立“建设项目信息公示牌”，公示牌具体规格及公示内容由大冶市自然资源和规划局另行告知。</w:t>
      </w:r>
    </w:p>
    <w:p w14:paraId="40BC0DD5">
      <w:pPr>
        <w:pStyle w:val="2"/>
        <w:keepNext w:val="0"/>
        <w:keepLines w:val="0"/>
        <w:pageBreakBefore w:val="0"/>
        <w:widowControl w:val="0"/>
        <w:kinsoku/>
        <w:wordWrap/>
        <w:overflowPunct/>
        <w:topLinePunct w:val="0"/>
        <w:autoSpaceDE/>
        <w:autoSpaceDN/>
        <w:bidi w:val="0"/>
        <w:adjustRightInd/>
        <w:snapToGrid/>
        <w:ind w:firstLine="640"/>
        <w:textAlignment w:val="auto"/>
        <w:rPr>
          <w:rFonts w:hint="eastAsia" w:ascii="仿宋" w:hAnsi="仿宋" w:eastAsia="仿宋"/>
          <w:b w:val="0"/>
          <w:bCs w:val="0"/>
          <w:color w:val="auto"/>
          <w:kern w:val="2"/>
          <w:sz w:val="32"/>
          <w:szCs w:val="32"/>
        </w:rPr>
      </w:pPr>
      <w:r>
        <w:rPr>
          <w:rFonts w:hint="eastAsia" w:ascii="仿宋" w:hAnsi="仿宋" w:eastAsia="仿宋"/>
          <w:b w:val="0"/>
          <w:bCs w:val="0"/>
          <w:color w:val="auto"/>
          <w:kern w:val="2"/>
          <w:sz w:val="32"/>
          <w:szCs w:val="32"/>
        </w:rPr>
        <w:t>（</w:t>
      </w:r>
      <w:r>
        <w:rPr>
          <w:rFonts w:hint="eastAsia" w:ascii="仿宋" w:hAnsi="仿宋" w:eastAsia="仿宋"/>
          <w:b w:val="0"/>
          <w:bCs w:val="0"/>
          <w:color w:val="auto"/>
          <w:kern w:val="2"/>
          <w:sz w:val="32"/>
          <w:szCs w:val="32"/>
          <w:lang w:val="en-US" w:eastAsia="zh-CN"/>
        </w:rPr>
        <w:t>四</w:t>
      </w:r>
      <w:r>
        <w:rPr>
          <w:rFonts w:hint="eastAsia" w:ascii="仿宋" w:hAnsi="仿宋" w:eastAsia="仿宋"/>
          <w:b w:val="0"/>
          <w:bCs w:val="0"/>
          <w:color w:val="auto"/>
          <w:kern w:val="2"/>
          <w:sz w:val="32"/>
          <w:szCs w:val="32"/>
        </w:rPr>
        <w:t>）上述宗地以现状挂牌出让，实际勘测交付面积与挂牌出让文件标明的出让面积差异率在</w:t>
      </w:r>
      <w:r>
        <w:rPr>
          <w:rFonts w:ascii="仿宋" w:hAnsi="仿宋" w:eastAsia="仿宋"/>
          <w:b w:val="0"/>
          <w:bCs w:val="0"/>
          <w:color w:val="auto"/>
          <w:kern w:val="2"/>
          <w:sz w:val="32"/>
          <w:szCs w:val="32"/>
        </w:rPr>
        <w:t>1%</w:t>
      </w:r>
      <w:r>
        <w:rPr>
          <w:rFonts w:hint="eastAsia" w:ascii="仿宋" w:hAnsi="仿宋" w:eastAsia="仿宋"/>
          <w:b w:val="0"/>
          <w:bCs w:val="0"/>
          <w:color w:val="auto"/>
          <w:kern w:val="2"/>
          <w:sz w:val="32"/>
          <w:szCs w:val="32"/>
        </w:rPr>
        <w:t>以内的，面积差异不影响成交价格。</w:t>
      </w:r>
    </w:p>
    <w:p w14:paraId="76418696">
      <w:pPr>
        <w:pStyle w:val="2"/>
        <w:ind w:firstLine="640"/>
        <w:rPr>
          <w:rFonts w:hint="default" w:ascii="仿宋" w:hAnsi="仿宋" w:eastAsia="仿宋"/>
          <w:b w:val="0"/>
          <w:bCs w:val="0"/>
          <w:color w:val="auto"/>
          <w:kern w:val="2"/>
          <w:sz w:val="32"/>
          <w:szCs w:val="32"/>
          <w:lang w:val="en-US" w:eastAsia="zh-CN"/>
        </w:rPr>
      </w:pPr>
      <w:r>
        <w:rPr>
          <w:rFonts w:hint="eastAsia" w:ascii="仿宋" w:hAnsi="仿宋" w:eastAsia="仿宋"/>
          <w:b w:val="0"/>
          <w:bCs w:val="0"/>
          <w:color w:val="auto"/>
          <w:kern w:val="2"/>
          <w:sz w:val="32"/>
          <w:szCs w:val="32"/>
        </w:rPr>
        <w:t>（</w:t>
      </w:r>
      <w:r>
        <w:rPr>
          <w:rFonts w:hint="eastAsia" w:ascii="仿宋" w:hAnsi="仿宋" w:eastAsia="仿宋"/>
          <w:b w:val="0"/>
          <w:bCs w:val="0"/>
          <w:color w:val="auto"/>
          <w:kern w:val="2"/>
          <w:sz w:val="32"/>
          <w:szCs w:val="32"/>
          <w:lang w:val="en-US" w:eastAsia="zh-CN"/>
        </w:rPr>
        <w:t>五</w:t>
      </w:r>
      <w:r>
        <w:rPr>
          <w:rFonts w:hint="eastAsia" w:ascii="仿宋" w:hAnsi="仿宋" w:eastAsia="仿宋"/>
          <w:b w:val="0"/>
          <w:bCs w:val="0"/>
          <w:color w:val="auto"/>
          <w:kern w:val="2"/>
          <w:sz w:val="32"/>
          <w:szCs w:val="32"/>
        </w:rPr>
        <w:t>）上述地块竞得人</w:t>
      </w:r>
      <w:r>
        <w:rPr>
          <w:rFonts w:hint="eastAsia" w:ascii="仿宋" w:hAnsi="仿宋" w:eastAsia="仿宋"/>
          <w:b w:val="0"/>
          <w:bCs w:val="0"/>
          <w:color w:val="auto"/>
          <w:kern w:val="2"/>
          <w:sz w:val="32"/>
          <w:szCs w:val="32"/>
          <w:lang w:val="en-US" w:eastAsia="zh-CN"/>
        </w:rPr>
        <w:t>须按规划部门出具的规划条件对出让地块进行开发建设</w:t>
      </w:r>
      <w:r>
        <w:rPr>
          <w:rFonts w:hint="eastAsia" w:ascii="仿宋" w:hAnsi="仿宋" w:eastAsia="仿宋"/>
          <w:b w:val="0"/>
          <w:bCs w:val="0"/>
          <w:color w:val="auto"/>
          <w:kern w:val="2"/>
          <w:sz w:val="32"/>
          <w:szCs w:val="32"/>
          <w:lang w:eastAsia="zh-CN"/>
        </w:rPr>
        <w:t>，</w:t>
      </w:r>
      <w:r>
        <w:rPr>
          <w:rFonts w:hint="eastAsia" w:ascii="仿宋" w:hAnsi="仿宋" w:eastAsia="仿宋"/>
          <w:b w:val="0"/>
          <w:bCs w:val="0"/>
          <w:color w:val="auto"/>
          <w:kern w:val="2"/>
          <w:sz w:val="32"/>
          <w:szCs w:val="32"/>
          <w:lang w:val="en-US" w:eastAsia="zh-CN"/>
        </w:rPr>
        <w:t>其中住宅用地容积率不得≤1.0，不得用于建设别墅和私家庄园。</w:t>
      </w:r>
    </w:p>
    <w:p w14:paraId="72446FB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eastAsia="仿宋_GB2312"/>
          <w:sz w:val="32"/>
          <w:lang w:val="en-US" w:eastAsia="zh-CN"/>
        </w:rPr>
      </w:pPr>
      <w:r>
        <w:rPr>
          <w:rFonts w:hint="eastAsia" w:eastAsia="仿宋_GB2312"/>
          <w:sz w:val="32"/>
          <w:lang w:val="en-US" w:eastAsia="zh-CN"/>
        </w:rPr>
        <w:t>五、竞买资格及要求</w:t>
      </w:r>
    </w:p>
    <w:p w14:paraId="3092671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（一）中华人民共和国境内外的法人和其他组织均可申请参加，申请人可以单独申请，也可以联合申请，自然人不得申请参加土地竞买活动。</w:t>
      </w:r>
    </w:p>
    <w:p w14:paraId="1769605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（二）竞买申请人在参与网上挂牌交易活动期间须在“信用中国”网站（http://www.creditchina.gov.cn）无失信记录，若存在失信记录参加竞买活动的，其竞买申请为无效申请，竞买申请人自行承担相关法律后果。</w:t>
      </w:r>
    </w:p>
    <w:p w14:paraId="2715AE8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（三）本次国有建设用地使用权挂牌出让只能在互联网上通过大冶市招投标网站国有土地网上交易系统进行。只有办理数字证书、通过网上注册、足额交纳竞买保证金的申请人，才能参加网上挂牌出让活动。</w:t>
      </w:r>
    </w:p>
    <w:p w14:paraId="5B6C1A4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（四）只接受网上报名、网上竞买申请及报价。竞买人的网上竞买报价一经系统确认，不能修改或撤回。不接受电话、邮寄、书面、口头等其他方式的竞买申请和报价。</w:t>
      </w:r>
    </w:p>
    <w:p w14:paraId="76F995A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五）交纳竞买保证金的截止时间为2026年10月23日17时00分（收款单位：大冶市公共资源交易中心；开户行：湖北银行股份有限公司大冶支行；账号：详见业务系统中“申请成功信息”页面）竞买人必须全部接受网上挂牌出让条件和挂牌文件，并按规定交纳竞买保证金后，方可参与竞买。</w:t>
      </w:r>
    </w:p>
    <w:p w14:paraId="0D7EB2C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（六）竞买人保证金必须从单位账户汇出，在网上交易系统点击“申购”,通过交易系统在2026年10月23日17时00分前,一次性足额将竞买保证金汇入我中心指定的保证金账户。</w:t>
      </w:r>
    </w:p>
    <w:p w14:paraId="05140E1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六、竞买申请</w:t>
      </w:r>
    </w:p>
    <w:p w14:paraId="3D4B620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我中心将通过互联网站(网址：</w:t>
      </w:r>
      <w:r>
        <w:rPr>
          <w:rFonts w:hint="eastAsia" w:ascii="仿宋" w:hAnsi="仿宋" w:eastAsia="仿宋" w:cs="仿宋"/>
          <w:sz w:val="32"/>
          <w:szCs w:val="32"/>
        </w:rPr>
        <w:t>http://36.133.17.9:8081/ztb/</w:t>
      </w:r>
      <w:r>
        <w:rPr>
          <w:rFonts w:hint="eastAsia" w:eastAsia="仿宋_GB2312"/>
          <w:sz w:val="32"/>
          <w:lang w:val="en-US" w:eastAsia="zh-CN"/>
        </w:rPr>
        <w:t>)大冶市招投标网站发布网上挂牌出让相关文件。有意竞买者须登陆该系统，在网上浏览或下载本次挂牌出让文件，网上挂牌出让文件具体包括：</w:t>
      </w:r>
    </w:p>
    <w:p w14:paraId="1D59027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（一）《国有建设用地使用权网上挂牌出让公告》(以下简称《出让公告》)；</w:t>
      </w:r>
    </w:p>
    <w:p w14:paraId="4757A041">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（二）《国有建设用地使用权网上挂牌出让规则》(以下简称《出让规则》)；</w:t>
      </w:r>
    </w:p>
    <w:p w14:paraId="4D5072D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（三）《国有建设用地使用权网上挂牌出让须知》(以下简称《出让须知》)；</w:t>
      </w:r>
    </w:p>
    <w:p w14:paraId="6C55141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zh-CN" w:eastAsia="zh-CN"/>
        </w:rPr>
        <w:t>（四）</w:t>
      </w:r>
      <w:r>
        <w:rPr>
          <w:rFonts w:hint="eastAsia" w:eastAsia="仿宋_GB2312"/>
          <w:sz w:val="32"/>
          <w:lang w:val="en-US" w:eastAsia="zh-CN"/>
        </w:rPr>
        <w:t>竞买申请书；</w:t>
      </w:r>
    </w:p>
    <w:p w14:paraId="30CBC7A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zh-CN" w:eastAsia="zh-CN"/>
        </w:rPr>
        <w:t>（五）</w:t>
      </w:r>
      <w:r>
        <w:rPr>
          <w:rFonts w:hint="eastAsia" w:eastAsia="仿宋_GB2312"/>
          <w:sz w:val="32"/>
          <w:lang w:val="en-US" w:eastAsia="zh-CN"/>
        </w:rPr>
        <w:t>挂牌出让宗地规划条件通知书；</w:t>
      </w:r>
    </w:p>
    <w:p w14:paraId="63CBD61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zh-CN" w:eastAsia="zh-CN"/>
        </w:rPr>
        <w:t>（</w:t>
      </w:r>
      <w:r>
        <w:rPr>
          <w:rFonts w:hint="eastAsia" w:eastAsia="仿宋_GB2312"/>
          <w:sz w:val="32"/>
          <w:lang w:val="en-US" w:eastAsia="zh-CN"/>
        </w:rPr>
        <w:t>六</w:t>
      </w:r>
      <w:r>
        <w:rPr>
          <w:rFonts w:hint="eastAsia" w:eastAsia="仿宋_GB2312"/>
          <w:sz w:val="32"/>
          <w:lang w:val="zh-CN" w:eastAsia="zh-CN"/>
        </w:rPr>
        <w:t>）</w:t>
      </w:r>
      <w:r>
        <w:rPr>
          <w:rFonts w:hint="eastAsia" w:eastAsia="仿宋_GB2312"/>
          <w:sz w:val="32"/>
          <w:lang w:val="en-US" w:eastAsia="zh-CN"/>
        </w:rPr>
        <w:t>《国有建设用地网上挂牌出让成交确认书》(以下简称《成交确认书》)；</w:t>
      </w:r>
    </w:p>
    <w:p w14:paraId="38F19F1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zh-CN" w:eastAsia="zh-CN"/>
        </w:rPr>
        <w:t>（</w:t>
      </w:r>
      <w:r>
        <w:rPr>
          <w:rFonts w:hint="eastAsia" w:eastAsia="仿宋_GB2312"/>
          <w:sz w:val="32"/>
          <w:lang w:val="en-US" w:eastAsia="zh-CN"/>
        </w:rPr>
        <w:t>七</w:t>
      </w:r>
      <w:r>
        <w:rPr>
          <w:rFonts w:hint="eastAsia" w:eastAsia="仿宋_GB2312"/>
          <w:sz w:val="32"/>
          <w:lang w:val="zh-CN" w:eastAsia="zh-CN"/>
        </w:rPr>
        <w:t>）</w:t>
      </w:r>
      <w:r>
        <w:rPr>
          <w:rFonts w:hint="eastAsia" w:eastAsia="仿宋_GB2312"/>
          <w:sz w:val="32"/>
          <w:lang w:val="en-US" w:eastAsia="zh-CN"/>
        </w:rPr>
        <w:t>宗地界址图；</w:t>
      </w:r>
    </w:p>
    <w:p w14:paraId="334DE5F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竞买申请及竞买保证金一经提交确认后，即视为竞买人对公开出让文件及地块现状无异议并全部接受，并对有关承诺承担法律责任。</w:t>
      </w:r>
    </w:p>
    <w:p w14:paraId="6382809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七、资格审查</w:t>
      </w:r>
    </w:p>
    <w:p w14:paraId="3F994C3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我中心通过网上挂牌出让交易系统自动确认竞买人资格。通过我中心网上挂牌出让交易系统提交竞买申请、竞买保证金，且通过交易系统资格审查的，方能取得竞买资格，网上将自动生成《竞买资格确认书》。</w:t>
      </w:r>
    </w:p>
    <w:p w14:paraId="08A7BBE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经审查，有下列情形之一的，为无效申请：</w:t>
      </w:r>
    </w:p>
    <w:p w14:paraId="12DB74D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（一）申请人不具备竞买资格的；</w:t>
      </w:r>
    </w:p>
    <w:p w14:paraId="2D0FECC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（二）未按规定交纳竞买保证金的；</w:t>
      </w:r>
    </w:p>
    <w:p w14:paraId="4BC23BE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（三）申请文件不齐全或不符合规定的；</w:t>
      </w:r>
    </w:p>
    <w:p w14:paraId="1682BEA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（四）法律法规规定的其他情形。</w:t>
      </w:r>
    </w:p>
    <w:p w14:paraId="2292E80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八、答疑及现场踏勘</w:t>
      </w:r>
    </w:p>
    <w:p w14:paraId="1BDD6728">
      <w:pPr>
        <w:spacing w:line="540" w:lineRule="exact"/>
        <w:ind w:firstLine="640" w:firstLineChars="200"/>
        <w:rPr>
          <w:rFonts w:ascii="仿宋" w:hAnsi="仿宋" w:eastAsia="仿宋"/>
          <w:sz w:val="32"/>
        </w:rPr>
      </w:pPr>
      <w:r>
        <w:rPr>
          <w:rFonts w:hint="eastAsia" w:ascii="仿宋" w:hAnsi="仿宋" w:eastAsia="仿宋"/>
          <w:sz w:val="32"/>
        </w:rPr>
        <w:t>申请人须全面阅读有关出让文件，如有疑问可以在出让活动开始日以前用书面或口头方式向</w:t>
      </w:r>
      <w:r>
        <w:rPr>
          <w:rFonts w:hint="eastAsia" w:ascii="仿宋" w:hAnsi="仿宋" w:eastAsia="仿宋" w:cs="宋体"/>
          <w:color w:val="333333"/>
          <w:kern w:val="0"/>
          <w:sz w:val="32"/>
          <w:szCs w:val="32"/>
        </w:rPr>
        <w:t>大冶市自然资源和规划局</w:t>
      </w:r>
      <w:r>
        <w:rPr>
          <w:rFonts w:hint="eastAsia" w:ascii="仿宋" w:hAnsi="仿宋" w:eastAsia="仿宋"/>
          <w:sz w:val="32"/>
        </w:rPr>
        <w:t>咨询。申请人可到现场踏勘公开出让地块。申请一经受理确认后，即视为竞买人对公开出让文件及地块现状无异议并全部接受，并对有关承诺承担法律责任。</w:t>
      </w:r>
    </w:p>
    <w:p w14:paraId="6627A49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九、本次挂牌出让活动有关时间</w:t>
      </w:r>
    </w:p>
    <w:p w14:paraId="066286F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挂牌时间为13日，具体如下：</w:t>
      </w:r>
    </w:p>
    <w:p w14:paraId="0402055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1、挂牌起始时间：2026年10月14日上午10时；</w:t>
      </w:r>
    </w:p>
    <w:p w14:paraId="077457F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2、挂牌截止时间：2026年10月27日上午10时。</w:t>
      </w:r>
    </w:p>
    <w:p w14:paraId="7684730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十、挂牌程序</w:t>
      </w:r>
    </w:p>
    <w:p w14:paraId="19274B1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（一）在中国土地市场网、黄石市公共资源交易中心网、大冶市招投标网站、《今日大冶》等网站和媒体发布网上挂牌出让公告、出让宗地相关信息；</w:t>
      </w:r>
    </w:p>
    <w:p w14:paraId="5477EAC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（二）在挂牌期内，有意竞买者通过注册申请并缴纳竞买保证金至指定账户后，取得竞买资格；</w:t>
      </w:r>
    </w:p>
    <w:p w14:paraId="3175E47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（三）竞买人在挂牌期内参与竞买，报价经系统确认无误后即显示为当前报价；</w:t>
      </w:r>
    </w:p>
    <w:p w14:paraId="422F45D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zh-CN" w:eastAsia="zh-CN"/>
        </w:rPr>
        <w:t>（四）</w:t>
      </w:r>
      <w:r>
        <w:rPr>
          <w:rFonts w:hint="eastAsia" w:eastAsia="仿宋_GB2312"/>
          <w:sz w:val="32"/>
          <w:lang w:val="en-US" w:eastAsia="zh-CN"/>
        </w:rPr>
        <w:t>网上交易系统根据挂牌截止时的最高报价且不低于底价的自动确定竞得人，竞得人可以下载系统生成的《成交确认书》及相关文件。</w:t>
      </w:r>
    </w:p>
    <w:p w14:paraId="5DF6318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（五）出让结果公布</w:t>
      </w:r>
    </w:p>
    <w:p w14:paraId="366742A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大冶市公共资源交易中心将在此次国有建设用地使用权挂牌出让活动结束后10个工作日内，在中国土地市场网、黄石市公共资源交易中心网、</w:t>
      </w:r>
      <w:r>
        <w:rPr>
          <w:rFonts w:hint="eastAsia" w:eastAsia="仿宋_GB2312"/>
          <w:sz w:val="32"/>
          <w:lang w:val="en-US" w:eastAsia="zh-CN"/>
        </w:rPr>
        <w:t>大冶市招投标网站等网站</w:t>
      </w:r>
      <w:r>
        <w:rPr>
          <w:rFonts w:hint="eastAsia" w:eastAsia="仿宋_GB2312"/>
          <w:sz w:val="32"/>
          <w:lang w:val="zh-CN" w:eastAsia="zh-CN"/>
        </w:rPr>
        <w:t>上公布本次国有建设用地使用权网上挂牌出让结果。</w:t>
      </w:r>
    </w:p>
    <w:p w14:paraId="30FFC47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本次网上挂牌出让交易的报价规则详见</w:t>
      </w:r>
      <w:r>
        <w:rPr>
          <w:rFonts w:hint="eastAsia" w:eastAsia="仿宋_GB2312"/>
          <w:sz w:val="32"/>
          <w:lang w:val="en-US" w:eastAsia="zh-CN"/>
        </w:rPr>
        <w:t>大冶市招投标网站</w:t>
      </w:r>
      <w:r>
        <w:rPr>
          <w:rFonts w:hint="eastAsia" w:eastAsia="仿宋_GB2312"/>
          <w:sz w:val="32"/>
          <w:lang w:val="zh-CN" w:eastAsia="zh-CN"/>
        </w:rPr>
        <w:t>栏目国有土地网上交易系统上发布的《交易规则》第四章、第五章。</w:t>
      </w:r>
    </w:p>
    <w:p w14:paraId="693825A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eastAsia="仿宋_GB2312"/>
          <w:sz w:val="32"/>
          <w:lang w:val="en-US" w:eastAsia="zh-CN"/>
        </w:rPr>
      </w:pPr>
      <w:r>
        <w:rPr>
          <w:rFonts w:hint="eastAsia" w:eastAsia="仿宋_GB2312"/>
          <w:sz w:val="32"/>
          <w:lang w:val="en-US" w:eastAsia="zh-CN"/>
        </w:rPr>
        <w:t>十一、宗地竞买保证金、起始价、增价幅度及报价</w:t>
      </w:r>
    </w:p>
    <w:p w14:paraId="579FFA46">
      <w:pPr>
        <w:spacing w:line="540" w:lineRule="exact"/>
        <w:ind w:firstLine="640" w:firstLineChars="200"/>
        <w:rPr>
          <w:rFonts w:ascii="仿宋" w:hAnsi="仿宋" w:eastAsia="仿宋"/>
          <w:sz w:val="32"/>
        </w:rPr>
      </w:pPr>
      <w:r>
        <w:rPr>
          <w:rFonts w:hint="eastAsia" w:eastAsia="仿宋_GB2312"/>
          <w:sz w:val="32"/>
          <w:lang w:val="en-US" w:eastAsia="zh-CN"/>
        </w:rPr>
        <w:t>（一）</w:t>
      </w:r>
      <w:r>
        <w:rPr>
          <w:rFonts w:hint="eastAsia" w:ascii="仿宋" w:hAnsi="仿宋" w:eastAsia="仿宋"/>
          <w:sz w:val="32"/>
          <w:lang w:val="en-US" w:eastAsia="zh-CN"/>
        </w:rPr>
        <w:t>上述</w:t>
      </w:r>
      <w:r>
        <w:rPr>
          <w:rFonts w:hint="eastAsia" w:ascii="仿宋" w:hAnsi="仿宋" w:eastAsia="仿宋"/>
          <w:sz w:val="32"/>
        </w:rPr>
        <w:t>宗地的竞买保证金为：</w:t>
      </w:r>
    </w:p>
    <w:p w14:paraId="72EC0236">
      <w:pPr>
        <w:spacing w:line="540" w:lineRule="exact"/>
        <w:ind w:firstLine="640" w:firstLineChars="200"/>
        <w:rPr>
          <w:rFonts w:hint="eastAsia" w:ascii="仿宋" w:hAnsi="仿宋" w:eastAsia="仿宋"/>
          <w:sz w:val="32"/>
          <w:szCs w:val="44"/>
          <w:highlight w:val="none"/>
          <w:lang w:val="en-US" w:eastAsia="zh-CN"/>
        </w:rPr>
      </w:pPr>
      <w:r>
        <w:rPr>
          <w:rFonts w:hint="eastAsia" w:ascii="仿宋" w:hAnsi="仿宋" w:eastAsia="仿宋"/>
          <w:sz w:val="32"/>
          <w:szCs w:val="44"/>
          <w:highlight w:val="none"/>
          <w:lang w:val="en-US" w:eastAsia="zh-CN"/>
        </w:rPr>
        <w:t>G26037号地块为</w:t>
      </w:r>
      <w:r>
        <w:rPr>
          <w:rFonts w:hint="eastAsia" w:ascii="仿宋" w:hAnsi="仿宋" w:eastAsia="仿宋"/>
          <w:sz w:val="32"/>
          <w:szCs w:val="44"/>
          <w:highlight w:val="none"/>
        </w:rPr>
        <w:t>人民币大写肆佰玖拾万元整</w:t>
      </w:r>
      <w:r>
        <w:rPr>
          <w:rFonts w:hint="eastAsia" w:ascii="仿宋" w:hAnsi="仿宋" w:eastAsia="仿宋"/>
          <w:sz w:val="32"/>
          <w:szCs w:val="44"/>
          <w:highlight w:val="none"/>
          <w:lang w:val="en-US" w:eastAsia="zh-CN"/>
        </w:rPr>
        <w:t>（</w:t>
      </w:r>
      <w:r>
        <w:rPr>
          <w:rFonts w:hint="eastAsia" w:ascii="仿宋" w:hAnsi="仿宋" w:eastAsia="仿宋"/>
          <w:sz w:val="32"/>
          <w:szCs w:val="44"/>
          <w:highlight w:val="none"/>
        </w:rPr>
        <w:t>￥</w:t>
      </w:r>
      <w:r>
        <w:rPr>
          <w:rFonts w:hint="eastAsia" w:ascii="仿宋" w:hAnsi="仿宋" w:eastAsia="仿宋"/>
          <w:sz w:val="32"/>
          <w:szCs w:val="44"/>
          <w:highlight w:val="none"/>
          <w:lang w:eastAsia="zh-CN"/>
        </w:rPr>
        <w:t>：</w:t>
      </w:r>
      <w:r>
        <w:rPr>
          <w:rFonts w:hint="eastAsia" w:ascii="仿宋" w:hAnsi="仿宋" w:eastAsia="仿宋"/>
          <w:sz w:val="32"/>
          <w:szCs w:val="44"/>
          <w:highlight w:val="none"/>
          <w:lang w:val="en-US" w:eastAsia="zh-CN"/>
        </w:rPr>
        <w:t>490</w:t>
      </w:r>
      <w:r>
        <w:rPr>
          <w:rFonts w:ascii="仿宋" w:hAnsi="仿宋" w:eastAsia="仿宋"/>
          <w:sz w:val="32"/>
          <w:szCs w:val="44"/>
          <w:highlight w:val="none"/>
        </w:rPr>
        <w:t>0</w:t>
      </w:r>
      <w:r>
        <w:rPr>
          <w:rFonts w:hint="eastAsia" w:ascii="仿宋" w:hAnsi="仿宋" w:eastAsia="仿宋"/>
          <w:sz w:val="32"/>
          <w:szCs w:val="44"/>
          <w:highlight w:val="none"/>
          <w:lang w:val="en-US" w:eastAsia="zh-CN"/>
        </w:rPr>
        <w:t>0</w:t>
      </w:r>
      <w:r>
        <w:rPr>
          <w:rFonts w:ascii="仿宋" w:hAnsi="仿宋" w:eastAsia="仿宋"/>
          <w:sz w:val="32"/>
          <w:szCs w:val="44"/>
          <w:highlight w:val="none"/>
        </w:rPr>
        <w:t>0</w:t>
      </w:r>
      <w:r>
        <w:rPr>
          <w:rFonts w:hint="eastAsia" w:ascii="仿宋" w:hAnsi="仿宋" w:eastAsia="仿宋"/>
          <w:sz w:val="32"/>
          <w:szCs w:val="44"/>
          <w:highlight w:val="none"/>
          <w:lang w:val="en-US" w:eastAsia="zh-CN"/>
        </w:rPr>
        <w:t>0</w:t>
      </w:r>
      <w:r>
        <w:rPr>
          <w:rFonts w:ascii="仿宋" w:hAnsi="仿宋" w:eastAsia="仿宋"/>
          <w:sz w:val="32"/>
          <w:szCs w:val="44"/>
          <w:highlight w:val="none"/>
        </w:rPr>
        <w:t>.00</w:t>
      </w:r>
      <w:r>
        <w:rPr>
          <w:rFonts w:hint="eastAsia" w:ascii="仿宋" w:hAnsi="仿宋" w:eastAsia="仿宋"/>
          <w:sz w:val="32"/>
          <w:szCs w:val="44"/>
          <w:highlight w:val="none"/>
          <w:lang w:val="en-US" w:eastAsia="zh-CN"/>
        </w:rPr>
        <w:t>）。</w:t>
      </w:r>
    </w:p>
    <w:p w14:paraId="7987DACC">
      <w:pPr>
        <w:spacing w:line="540" w:lineRule="exact"/>
        <w:ind w:firstLine="640" w:firstLineChars="200"/>
        <w:rPr>
          <w:rFonts w:hint="eastAsia" w:ascii="仿宋" w:hAnsi="仿宋" w:eastAsia="仿宋"/>
          <w:sz w:val="32"/>
          <w:szCs w:val="44"/>
          <w:highlight w:val="none"/>
          <w:lang w:val="en-US" w:eastAsia="zh-CN"/>
        </w:rPr>
      </w:pPr>
      <w:r>
        <w:rPr>
          <w:rFonts w:hint="eastAsia" w:ascii="仿宋" w:hAnsi="仿宋" w:eastAsia="仿宋"/>
          <w:sz w:val="32"/>
          <w:szCs w:val="44"/>
          <w:highlight w:val="none"/>
          <w:lang w:val="en-US" w:eastAsia="zh-CN"/>
        </w:rPr>
        <w:t>G26038号地块为</w:t>
      </w:r>
      <w:r>
        <w:rPr>
          <w:rFonts w:hint="eastAsia" w:ascii="仿宋" w:hAnsi="仿宋" w:eastAsia="仿宋"/>
          <w:sz w:val="32"/>
          <w:szCs w:val="44"/>
          <w:highlight w:val="none"/>
        </w:rPr>
        <w:t>人民币大写壹仟贰佰玖拾万元整</w:t>
      </w:r>
      <w:r>
        <w:rPr>
          <w:rFonts w:hint="eastAsia" w:ascii="仿宋" w:hAnsi="仿宋" w:eastAsia="仿宋"/>
          <w:sz w:val="32"/>
          <w:szCs w:val="44"/>
          <w:highlight w:val="none"/>
          <w:lang w:val="en-US" w:eastAsia="zh-CN"/>
        </w:rPr>
        <w:t>（</w:t>
      </w:r>
      <w:r>
        <w:rPr>
          <w:rFonts w:hint="eastAsia" w:ascii="仿宋" w:hAnsi="仿宋" w:eastAsia="仿宋"/>
          <w:sz w:val="32"/>
          <w:szCs w:val="44"/>
          <w:highlight w:val="none"/>
        </w:rPr>
        <w:t>￥</w:t>
      </w:r>
      <w:r>
        <w:rPr>
          <w:rFonts w:hint="eastAsia" w:ascii="仿宋" w:hAnsi="仿宋" w:eastAsia="仿宋"/>
          <w:sz w:val="32"/>
          <w:szCs w:val="44"/>
          <w:highlight w:val="none"/>
          <w:lang w:eastAsia="zh-CN"/>
        </w:rPr>
        <w:t>：</w:t>
      </w:r>
      <w:r>
        <w:rPr>
          <w:rFonts w:hint="eastAsia" w:ascii="仿宋" w:hAnsi="仿宋" w:eastAsia="仿宋"/>
          <w:sz w:val="32"/>
          <w:szCs w:val="44"/>
          <w:highlight w:val="none"/>
          <w:lang w:val="en-US" w:eastAsia="zh-CN"/>
        </w:rPr>
        <w:t>1290</w:t>
      </w:r>
      <w:r>
        <w:rPr>
          <w:rFonts w:ascii="仿宋" w:hAnsi="仿宋" w:eastAsia="仿宋"/>
          <w:sz w:val="32"/>
          <w:szCs w:val="44"/>
          <w:highlight w:val="none"/>
        </w:rPr>
        <w:t>0</w:t>
      </w:r>
      <w:r>
        <w:rPr>
          <w:rFonts w:hint="eastAsia" w:ascii="仿宋" w:hAnsi="仿宋" w:eastAsia="仿宋"/>
          <w:sz w:val="32"/>
          <w:szCs w:val="44"/>
          <w:highlight w:val="none"/>
          <w:lang w:val="en-US" w:eastAsia="zh-CN"/>
        </w:rPr>
        <w:t>0</w:t>
      </w:r>
      <w:r>
        <w:rPr>
          <w:rFonts w:ascii="仿宋" w:hAnsi="仿宋" w:eastAsia="仿宋"/>
          <w:sz w:val="32"/>
          <w:szCs w:val="44"/>
          <w:highlight w:val="none"/>
        </w:rPr>
        <w:t>0</w:t>
      </w:r>
      <w:r>
        <w:rPr>
          <w:rFonts w:hint="eastAsia" w:ascii="仿宋" w:hAnsi="仿宋" w:eastAsia="仿宋"/>
          <w:sz w:val="32"/>
          <w:szCs w:val="44"/>
          <w:highlight w:val="none"/>
          <w:lang w:val="en-US" w:eastAsia="zh-CN"/>
        </w:rPr>
        <w:t>0</w:t>
      </w:r>
      <w:r>
        <w:rPr>
          <w:rFonts w:ascii="仿宋" w:hAnsi="仿宋" w:eastAsia="仿宋"/>
          <w:sz w:val="32"/>
          <w:szCs w:val="44"/>
          <w:highlight w:val="none"/>
        </w:rPr>
        <w:t>.00</w:t>
      </w:r>
      <w:r>
        <w:rPr>
          <w:rFonts w:hint="eastAsia" w:ascii="仿宋" w:hAnsi="仿宋" w:eastAsia="仿宋"/>
          <w:sz w:val="32"/>
          <w:szCs w:val="44"/>
          <w:highlight w:val="none"/>
          <w:lang w:val="en-US" w:eastAsia="zh-CN"/>
        </w:rPr>
        <w:t>）。</w:t>
      </w:r>
    </w:p>
    <w:p w14:paraId="0ABCADF2">
      <w:pPr>
        <w:spacing w:line="540" w:lineRule="exact"/>
        <w:ind w:firstLine="640" w:firstLineChars="200"/>
        <w:rPr>
          <w:rFonts w:hint="eastAsia" w:ascii="仿宋" w:hAnsi="仿宋" w:eastAsia="仿宋"/>
          <w:sz w:val="32"/>
          <w:szCs w:val="44"/>
          <w:highlight w:val="none"/>
          <w:lang w:val="en-US" w:eastAsia="zh-CN"/>
        </w:rPr>
      </w:pPr>
      <w:r>
        <w:rPr>
          <w:rFonts w:hint="eastAsia" w:ascii="仿宋" w:hAnsi="仿宋" w:eastAsia="仿宋"/>
          <w:sz w:val="32"/>
          <w:szCs w:val="44"/>
          <w:highlight w:val="none"/>
          <w:lang w:val="en-US" w:eastAsia="zh-CN"/>
        </w:rPr>
        <w:t>G26039号地块为</w:t>
      </w:r>
      <w:r>
        <w:rPr>
          <w:rFonts w:hint="eastAsia" w:ascii="仿宋" w:hAnsi="仿宋" w:eastAsia="仿宋"/>
          <w:sz w:val="32"/>
          <w:szCs w:val="44"/>
          <w:highlight w:val="none"/>
        </w:rPr>
        <w:t>人民币大写壹仟叁佰伍拾万元整</w:t>
      </w:r>
      <w:r>
        <w:rPr>
          <w:rFonts w:hint="eastAsia" w:ascii="仿宋" w:hAnsi="仿宋" w:eastAsia="仿宋"/>
          <w:sz w:val="32"/>
          <w:szCs w:val="44"/>
          <w:highlight w:val="none"/>
          <w:lang w:val="en-US" w:eastAsia="zh-CN"/>
        </w:rPr>
        <w:t>（</w:t>
      </w:r>
      <w:r>
        <w:rPr>
          <w:rFonts w:hint="eastAsia" w:ascii="仿宋" w:hAnsi="仿宋" w:eastAsia="仿宋"/>
          <w:sz w:val="32"/>
          <w:szCs w:val="44"/>
          <w:highlight w:val="none"/>
        </w:rPr>
        <w:t>￥</w:t>
      </w:r>
      <w:r>
        <w:rPr>
          <w:rFonts w:hint="eastAsia" w:ascii="仿宋" w:hAnsi="仿宋" w:eastAsia="仿宋"/>
          <w:sz w:val="32"/>
          <w:szCs w:val="44"/>
          <w:highlight w:val="none"/>
          <w:lang w:eastAsia="zh-CN"/>
        </w:rPr>
        <w:t>：</w:t>
      </w:r>
      <w:r>
        <w:rPr>
          <w:rFonts w:hint="eastAsia" w:ascii="仿宋" w:hAnsi="仿宋" w:eastAsia="仿宋"/>
          <w:sz w:val="32"/>
          <w:szCs w:val="44"/>
          <w:highlight w:val="none"/>
          <w:lang w:val="en-US" w:eastAsia="zh-CN"/>
        </w:rPr>
        <w:t>1350</w:t>
      </w:r>
      <w:r>
        <w:rPr>
          <w:rFonts w:ascii="仿宋" w:hAnsi="仿宋" w:eastAsia="仿宋"/>
          <w:sz w:val="32"/>
          <w:szCs w:val="44"/>
          <w:highlight w:val="none"/>
        </w:rPr>
        <w:t>0</w:t>
      </w:r>
      <w:r>
        <w:rPr>
          <w:rFonts w:hint="eastAsia" w:ascii="仿宋" w:hAnsi="仿宋" w:eastAsia="仿宋"/>
          <w:sz w:val="32"/>
          <w:szCs w:val="44"/>
          <w:highlight w:val="none"/>
          <w:lang w:val="en-US" w:eastAsia="zh-CN"/>
        </w:rPr>
        <w:t>0</w:t>
      </w:r>
      <w:r>
        <w:rPr>
          <w:rFonts w:ascii="仿宋" w:hAnsi="仿宋" w:eastAsia="仿宋"/>
          <w:sz w:val="32"/>
          <w:szCs w:val="44"/>
          <w:highlight w:val="none"/>
        </w:rPr>
        <w:t>0</w:t>
      </w:r>
      <w:r>
        <w:rPr>
          <w:rFonts w:hint="eastAsia" w:ascii="仿宋" w:hAnsi="仿宋" w:eastAsia="仿宋"/>
          <w:sz w:val="32"/>
          <w:szCs w:val="44"/>
          <w:highlight w:val="none"/>
          <w:lang w:val="en-US" w:eastAsia="zh-CN"/>
        </w:rPr>
        <w:t>0</w:t>
      </w:r>
      <w:r>
        <w:rPr>
          <w:rFonts w:ascii="仿宋" w:hAnsi="仿宋" w:eastAsia="仿宋"/>
          <w:sz w:val="32"/>
          <w:szCs w:val="44"/>
          <w:highlight w:val="none"/>
        </w:rPr>
        <w:t>.00</w:t>
      </w:r>
      <w:r>
        <w:rPr>
          <w:rFonts w:hint="eastAsia" w:ascii="仿宋" w:hAnsi="仿宋" w:eastAsia="仿宋"/>
          <w:sz w:val="32"/>
          <w:szCs w:val="44"/>
          <w:highlight w:val="none"/>
          <w:lang w:val="en-US" w:eastAsia="zh-CN"/>
        </w:rPr>
        <w:t>）。</w:t>
      </w:r>
    </w:p>
    <w:p w14:paraId="0ADCF09A">
      <w:pPr>
        <w:spacing w:line="540" w:lineRule="exact"/>
        <w:ind w:firstLine="640" w:firstLineChars="200"/>
        <w:rPr>
          <w:rFonts w:hint="eastAsia" w:ascii="仿宋" w:hAnsi="仿宋" w:eastAsia="仿宋"/>
          <w:sz w:val="32"/>
          <w:szCs w:val="44"/>
          <w:highlight w:val="none"/>
          <w:lang w:val="en-US" w:eastAsia="zh-CN"/>
        </w:rPr>
      </w:pPr>
      <w:r>
        <w:rPr>
          <w:rFonts w:hint="eastAsia" w:ascii="仿宋" w:hAnsi="仿宋" w:eastAsia="仿宋"/>
          <w:sz w:val="32"/>
          <w:szCs w:val="44"/>
          <w:highlight w:val="none"/>
          <w:lang w:val="en-US" w:eastAsia="zh-CN"/>
        </w:rPr>
        <w:t>G26040号地块为</w:t>
      </w:r>
      <w:r>
        <w:rPr>
          <w:rFonts w:hint="eastAsia" w:ascii="仿宋" w:hAnsi="仿宋" w:eastAsia="仿宋"/>
          <w:sz w:val="32"/>
          <w:szCs w:val="44"/>
          <w:highlight w:val="none"/>
        </w:rPr>
        <w:t>人民币大写壹佰伍拾肆万元整</w:t>
      </w:r>
      <w:r>
        <w:rPr>
          <w:rFonts w:hint="eastAsia" w:ascii="仿宋" w:hAnsi="仿宋" w:eastAsia="仿宋"/>
          <w:sz w:val="32"/>
          <w:szCs w:val="44"/>
          <w:highlight w:val="none"/>
          <w:lang w:val="en-US" w:eastAsia="zh-CN"/>
        </w:rPr>
        <w:t>（</w:t>
      </w:r>
      <w:r>
        <w:rPr>
          <w:rFonts w:hint="eastAsia" w:ascii="仿宋" w:hAnsi="仿宋" w:eastAsia="仿宋"/>
          <w:sz w:val="32"/>
          <w:szCs w:val="44"/>
          <w:highlight w:val="none"/>
        </w:rPr>
        <w:t>￥</w:t>
      </w:r>
      <w:r>
        <w:rPr>
          <w:rFonts w:hint="eastAsia" w:ascii="仿宋" w:hAnsi="仿宋" w:eastAsia="仿宋"/>
          <w:sz w:val="32"/>
          <w:szCs w:val="44"/>
          <w:highlight w:val="none"/>
          <w:lang w:eastAsia="zh-CN"/>
        </w:rPr>
        <w:t>：</w:t>
      </w:r>
      <w:r>
        <w:rPr>
          <w:rFonts w:hint="eastAsia" w:ascii="仿宋" w:hAnsi="仿宋" w:eastAsia="仿宋"/>
          <w:sz w:val="32"/>
          <w:szCs w:val="44"/>
          <w:highlight w:val="none"/>
          <w:lang w:val="en-US" w:eastAsia="zh-CN"/>
        </w:rPr>
        <w:t>154</w:t>
      </w:r>
      <w:r>
        <w:rPr>
          <w:rFonts w:ascii="仿宋" w:hAnsi="仿宋" w:eastAsia="仿宋"/>
          <w:sz w:val="32"/>
          <w:szCs w:val="44"/>
          <w:highlight w:val="none"/>
        </w:rPr>
        <w:t>0</w:t>
      </w:r>
      <w:r>
        <w:rPr>
          <w:rFonts w:hint="eastAsia" w:ascii="仿宋" w:hAnsi="仿宋" w:eastAsia="仿宋"/>
          <w:sz w:val="32"/>
          <w:szCs w:val="44"/>
          <w:highlight w:val="none"/>
          <w:lang w:val="en-US" w:eastAsia="zh-CN"/>
        </w:rPr>
        <w:t>0</w:t>
      </w:r>
      <w:r>
        <w:rPr>
          <w:rFonts w:ascii="仿宋" w:hAnsi="仿宋" w:eastAsia="仿宋"/>
          <w:sz w:val="32"/>
          <w:szCs w:val="44"/>
          <w:highlight w:val="none"/>
        </w:rPr>
        <w:t>0</w:t>
      </w:r>
      <w:r>
        <w:rPr>
          <w:rFonts w:hint="eastAsia" w:ascii="仿宋" w:hAnsi="仿宋" w:eastAsia="仿宋"/>
          <w:sz w:val="32"/>
          <w:szCs w:val="44"/>
          <w:highlight w:val="none"/>
          <w:lang w:val="en-US" w:eastAsia="zh-CN"/>
        </w:rPr>
        <w:t>0</w:t>
      </w:r>
      <w:r>
        <w:rPr>
          <w:rFonts w:ascii="仿宋" w:hAnsi="仿宋" w:eastAsia="仿宋"/>
          <w:sz w:val="32"/>
          <w:szCs w:val="44"/>
          <w:highlight w:val="none"/>
        </w:rPr>
        <w:t>.00</w:t>
      </w:r>
      <w:r>
        <w:rPr>
          <w:rFonts w:hint="eastAsia" w:ascii="仿宋" w:hAnsi="仿宋" w:eastAsia="仿宋"/>
          <w:sz w:val="32"/>
          <w:szCs w:val="44"/>
          <w:highlight w:val="none"/>
          <w:lang w:val="en-US" w:eastAsia="zh-CN"/>
        </w:rPr>
        <w:t>）。</w:t>
      </w:r>
    </w:p>
    <w:p w14:paraId="2216C1FA">
      <w:pPr>
        <w:spacing w:line="540" w:lineRule="exact"/>
        <w:ind w:firstLine="640" w:firstLineChars="200"/>
        <w:rPr>
          <w:rFonts w:hint="eastAsia" w:ascii="仿宋" w:hAnsi="仿宋" w:eastAsia="仿宋"/>
          <w:sz w:val="32"/>
          <w:szCs w:val="44"/>
          <w:highlight w:val="none"/>
          <w:lang w:val="en-US" w:eastAsia="zh-CN"/>
        </w:rPr>
      </w:pPr>
      <w:r>
        <w:rPr>
          <w:rFonts w:hint="eastAsia" w:ascii="仿宋" w:hAnsi="仿宋" w:eastAsia="仿宋"/>
          <w:sz w:val="32"/>
          <w:szCs w:val="44"/>
          <w:highlight w:val="none"/>
          <w:lang w:val="en-US" w:eastAsia="zh-CN"/>
        </w:rPr>
        <w:t>G26041号地块为</w:t>
      </w:r>
      <w:r>
        <w:rPr>
          <w:rFonts w:hint="eastAsia" w:ascii="仿宋" w:hAnsi="仿宋" w:eastAsia="仿宋"/>
          <w:sz w:val="32"/>
          <w:szCs w:val="44"/>
          <w:highlight w:val="none"/>
        </w:rPr>
        <w:t>人民币大写壹佰叁拾肆万元整</w:t>
      </w:r>
      <w:r>
        <w:rPr>
          <w:rFonts w:hint="eastAsia" w:ascii="仿宋" w:hAnsi="仿宋" w:eastAsia="仿宋"/>
          <w:sz w:val="32"/>
          <w:szCs w:val="44"/>
          <w:highlight w:val="none"/>
          <w:lang w:val="en-US" w:eastAsia="zh-CN"/>
        </w:rPr>
        <w:t>（</w:t>
      </w:r>
      <w:r>
        <w:rPr>
          <w:rFonts w:hint="eastAsia" w:ascii="仿宋" w:hAnsi="仿宋" w:eastAsia="仿宋"/>
          <w:sz w:val="32"/>
          <w:szCs w:val="44"/>
          <w:highlight w:val="none"/>
        </w:rPr>
        <w:t>￥</w:t>
      </w:r>
      <w:r>
        <w:rPr>
          <w:rFonts w:hint="eastAsia" w:ascii="仿宋" w:hAnsi="仿宋" w:eastAsia="仿宋"/>
          <w:sz w:val="32"/>
          <w:szCs w:val="44"/>
          <w:highlight w:val="none"/>
          <w:lang w:eastAsia="zh-CN"/>
        </w:rPr>
        <w:t>：</w:t>
      </w:r>
      <w:r>
        <w:rPr>
          <w:rFonts w:hint="eastAsia" w:ascii="仿宋" w:hAnsi="仿宋" w:eastAsia="仿宋"/>
          <w:sz w:val="32"/>
          <w:szCs w:val="44"/>
          <w:highlight w:val="none"/>
          <w:lang w:val="en-US" w:eastAsia="zh-CN"/>
        </w:rPr>
        <w:t>134</w:t>
      </w:r>
      <w:r>
        <w:rPr>
          <w:rFonts w:ascii="仿宋" w:hAnsi="仿宋" w:eastAsia="仿宋"/>
          <w:sz w:val="32"/>
          <w:szCs w:val="44"/>
          <w:highlight w:val="none"/>
        </w:rPr>
        <w:t>0</w:t>
      </w:r>
      <w:r>
        <w:rPr>
          <w:rFonts w:hint="eastAsia" w:ascii="仿宋" w:hAnsi="仿宋" w:eastAsia="仿宋"/>
          <w:sz w:val="32"/>
          <w:szCs w:val="44"/>
          <w:highlight w:val="none"/>
          <w:lang w:val="en-US" w:eastAsia="zh-CN"/>
        </w:rPr>
        <w:t>0</w:t>
      </w:r>
      <w:r>
        <w:rPr>
          <w:rFonts w:ascii="仿宋" w:hAnsi="仿宋" w:eastAsia="仿宋"/>
          <w:sz w:val="32"/>
          <w:szCs w:val="44"/>
          <w:highlight w:val="none"/>
        </w:rPr>
        <w:t>0</w:t>
      </w:r>
      <w:r>
        <w:rPr>
          <w:rFonts w:hint="eastAsia" w:ascii="仿宋" w:hAnsi="仿宋" w:eastAsia="仿宋"/>
          <w:sz w:val="32"/>
          <w:szCs w:val="44"/>
          <w:highlight w:val="none"/>
          <w:lang w:val="en-US" w:eastAsia="zh-CN"/>
        </w:rPr>
        <w:t>0</w:t>
      </w:r>
      <w:r>
        <w:rPr>
          <w:rFonts w:ascii="仿宋" w:hAnsi="仿宋" w:eastAsia="仿宋"/>
          <w:sz w:val="32"/>
          <w:szCs w:val="44"/>
          <w:highlight w:val="none"/>
        </w:rPr>
        <w:t>.00</w:t>
      </w:r>
      <w:r>
        <w:rPr>
          <w:rFonts w:hint="eastAsia" w:ascii="仿宋" w:hAnsi="仿宋" w:eastAsia="仿宋"/>
          <w:sz w:val="32"/>
          <w:szCs w:val="44"/>
          <w:highlight w:val="none"/>
          <w:lang w:val="en-US" w:eastAsia="zh-CN"/>
        </w:rPr>
        <w:t>）。</w:t>
      </w:r>
    </w:p>
    <w:p w14:paraId="6047E03C">
      <w:pPr>
        <w:numPr>
          <w:numId w:val="0"/>
        </w:numPr>
        <w:spacing w:line="540" w:lineRule="exact"/>
        <w:ind w:firstLine="320" w:firstLineChars="100"/>
        <w:rPr>
          <w:rFonts w:ascii="仿宋" w:hAnsi="仿宋" w:eastAsia="仿宋"/>
          <w:sz w:val="32"/>
          <w:highlight w:val="none"/>
        </w:rPr>
      </w:pPr>
      <w:r>
        <w:rPr>
          <w:rFonts w:hint="eastAsia" w:eastAsia="仿宋_GB2312"/>
          <w:sz w:val="32"/>
          <w:lang w:val="en-US" w:eastAsia="zh-CN"/>
        </w:rPr>
        <w:t>（二）</w:t>
      </w:r>
      <w:r>
        <w:rPr>
          <w:rFonts w:hint="eastAsia" w:ascii="仿宋" w:hAnsi="仿宋" w:eastAsia="仿宋"/>
          <w:sz w:val="32"/>
          <w:highlight w:val="none"/>
          <w:lang w:val="en-US" w:eastAsia="zh-CN"/>
        </w:rPr>
        <w:t>上述</w:t>
      </w:r>
      <w:r>
        <w:rPr>
          <w:rFonts w:hint="eastAsia" w:ascii="仿宋" w:hAnsi="仿宋" w:eastAsia="仿宋"/>
          <w:sz w:val="32"/>
          <w:highlight w:val="none"/>
        </w:rPr>
        <w:t>宗地的出让起始价、增价幅度</w:t>
      </w:r>
      <w:r>
        <w:rPr>
          <w:rFonts w:ascii="仿宋" w:hAnsi="仿宋" w:eastAsia="仿宋"/>
          <w:sz w:val="32"/>
          <w:highlight w:val="none"/>
        </w:rPr>
        <w:t xml:space="preserve"> </w:t>
      </w:r>
    </w:p>
    <w:p w14:paraId="4A1737C2">
      <w:pPr>
        <w:spacing w:line="540" w:lineRule="exact"/>
        <w:ind w:firstLine="640" w:firstLineChars="200"/>
        <w:rPr>
          <w:rFonts w:hint="eastAsia" w:ascii="仿宋" w:hAnsi="仿宋" w:eastAsia="仿宋"/>
          <w:sz w:val="32"/>
          <w:szCs w:val="44"/>
          <w:highlight w:val="none"/>
          <w:lang w:val="en-US" w:eastAsia="zh-CN"/>
        </w:rPr>
      </w:pPr>
      <w:r>
        <w:rPr>
          <w:rFonts w:hint="eastAsia" w:ascii="仿宋" w:hAnsi="仿宋" w:eastAsia="仿宋"/>
          <w:sz w:val="32"/>
          <w:szCs w:val="44"/>
          <w:highlight w:val="none"/>
          <w:lang w:val="en-US" w:eastAsia="zh-CN"/>
        </w:rPr>
        <w:t>G26037</w:t>
      </w:r>
      <w:r>
        <w:rPr>
          <w:rFonts w:hint="eastAsia" w:ascii="仿宋" w:hAnsi="仿宋" w:eastAsia="仿宋"/>
          <w:sz w:val="32"/>
          <w:highlight w:val="none"/>
        </w:rPr>
        <w:t>号地块：出让起始价为人民币大写</w:t>
      </w:r>
      <w:r>
        <w:rPr>
          <w:rFonts w:hint="eastAsia" w:ascii="仿宋" w:hAnsi="仿宋" w:eastAsia="仿宋"/>
          <w:sz w:val="32"/>
          <w:highlight w:val="none"/>
          <w:lang w:val="en-US" w:eastAsia="zh-CN"/>
        </w:rPr>
        <w:t>贰仟肆佰伍拾</w:t>
      </w:r>
      <w:r>
        <w:rPr>
          <w:rFonts w:hint="eastAsia" w:ascii="仿宋" w:hAnsi="仿宋" w:eastAsia="仿宋"/>
          <w:sz w:val="32"/>
          <w:highlight w:val="none"/>
        </w:rPr>
        <w:t>万元整（￥</w:t>
      </w:r>
      <w:r>
        <w:rPr>
          <w:rFonts w:hint="eastAsia" w:ascii="仿宋" w:hAnsi="仿宋" w:eastAsia="仿宋"/>
          <w:sz w:val="32"/>
          <w:highlight w:val="none"/>
          <w:lang w:val="en-US" w:eastAsia="zh-CN"/>
        </w:rPr>
        <w:t>24500</w:t>
      </w:r>
      <w:r>
        <w:rPr>
          <w:rFonts w:ascii="仿宋" w:hAnsi="仿宋" w:eastAsia="仿宋"/>
          <w:sz w:val="32"/>
          <w:highlight w:val="none"/>
        </w:rPr>
        <w:t>000.00</w:t>
      </w:r>
      <w:r>
        <w:rPr>
          <w:rFonts w:hint="eastAsia" w:ascii="仿宋" w:hAnsi="仿宋" w:eastAsia="仿宋"/>
          <w:sz w:val="32"/>
          <w:highlight w:val="none"/>
        </w:rPr>
        <w:t>），增价幅度为人民币大写壹拾万元或壹拾万元的整倍数</w:t>
      </w:r>
      <w:r>
        <w:rPr>
          <w:rFonts w:hint="eastAsia" w:ascii="仿宋" w:hAnsi="仿宋" w:eastAsia="仿宋"/>
          <w:sz w:val="32"/>
          <w:highlight w:val="none"/>
          <w:lang w:eastAsia="zh-CN"/>
        </w:rPr>
        <w:t>。</w:t>
      </w:r>
    </w:p>
    <w:p w14:paraId="54BE1AB8">
      <w:pPr>
        <w:spacing w:line="540" w:lineRule="exact"/>
        <w:ind w:firstLine="640" w:firstLineChars="200"/>
        <w:rPr>
          <w:rFonts w:hint="eastAsia" w:ascii="仿宋" w:hAnsi="仿宋" w:eastAsia="仿宋"/>
          <w:sz w:val="32"/>
          <w:highlight w:val="none"/>
          <w:lang w:eastAsia="zh-CN"/>
        </w:rPr>
      </w:pPr>
      <w:r>
        <w:rPr>
          <w:rFonts w:hint="eastAsia" w:ascii="仿宋" w:hAnsi="仿宋" w:eastAsia="仿宋"/>
          <w:sz w:val="32"/>
          <w:szCs w:val="44"/>
          <w:highlight w:val="none"/>
          <w:lang w:val="en-US" w:eastAsia="zh-CN"/>
        </w:rPr>
        <w:t>G26038</w:t>
      </w:r>
      <w:r>
        <w:rPr>
          <w:rFonts w:hint="eastAsia" w:ascii="仿宋" w:hAnsi="仿宋" w:eastAsia="仿宋"/>
          <w:sz w:val="32"/>
          <w:highlight w:val="none"/>
        </w:rPr>
        <w:t>号地块：出让起始价为人民币大写</w:t>
      </w:r>
      <w:r>
        <w:rPr>
          <w:rFonts w:hint="eastAsia" w:ascii="仿宋" w:hAnsi="仿宋" w:eastAsia="仿宋"/>
          <w:sz w:val="32"/>
          <w:highlight w:val="none"/>
          <w:lang w:val="en-US" w:eastAsia="zh-CN"/>
        </w:rPr>
        <w:t>陆仟肆佰伍拾</w:t>
      </w:r>
      <w:r>
        <w:rPr>
          <w:rFonts w:hint="eastAsia" w:ascii="仿宋" w:hAnsi="仿宋" w:eastAsia="仿宋"/>
          <w:sz w:val="32"/>
          <w:highlight w:val="none"/>
        </w:rPr>
        <w:t>万元整（￥</w:t>
      </w:r>
      <w:r>
        <w:rPr>
          <w:rFonts w:hint="eastAsia" w:ascii="仿宋" w:hAnsi="仿宋" w:eastAsia="仿宋"/>
          <w:sz w:val="32"/>
          <w:highlight w:val="none"/>
          <w:lang w:val="en-US" w:eastAsia="zh-CN"/>
        </w:rPr>
        <w:t>64500</w:t>
      </w:r>
      <w:r>
        <w:rPr>
          <w:rFonts w:ascii="仿宋" w:hAnsi="仿宋" w:eastAsia="仿宋"/>
          <w:sz w:val="32"/>
          <w:highlight w:val="none"/>
        </w:rPr>
        <w:t>000.00</w:t>
      </w:r>
      <w:r>
        <w:rPr>
          <w:rFonts w:hint="eastAsia" w:ascii="仿宋" w:hAnsi="仿宋" w:eastAsia="仿宋"/>
          <w:sz w:val="32"/>
          <w:highlight w:val="none"/>
        </w:rPr>
        <w:t>），增价幅度为人民币大写壹拾万元或壹拾万元的整倍数</w:t>
      </w:r>
      <w:r>
        <w:rPr>
          <w:rFonts w:hint="eastAsia" w:ascii="仿宋" w:hAnsi="仿宋" w:eastAsia="仿宋"/>
          <w:sz w:val="32"/>
          <w:highlight w:val="none"/>
          <w:lang w:eastAsia="zh-CN"/>
        </w:rPr>
        <w:t>。</w:t>
      </w:r>
    </w:p>
    <w:p w14:paraId="13855959">
      <w:pPr>
        <w:spacing w:line="540" w:lineRule="exact"/>
        <w:ind w:firstLine="640" w:firstLineChars="200"/>
        <w:rPr>
          <w:rFonts w:hint="eastAsia" w:ascii="仿宋" w:hAnsi="仿宋" w:eastAsia="仿宋"/>
          <w:sz w:val="32"/>
          <w:highlight w:val="none"/>
          <w:lang w:eastAsia="zh-CN"/>
        </w:rPr>
      </w:pPr>
      <w:r>
        <w:rPr>
          <w:rFonts w:hint="eastAsia" w:ascii="仿宋" w:hAnsi="仿宋" w:eastAsia="仿宋"/>
          <w:sz w:val="32"/>
          <w:szCs w:val="44"/>
          <w:highlight w:val="none"/>
          <w:lang w:val="en-US" w:eastAsia="zh-CN"/>
        </w:rPr>
        <w:t>G26039</w:t>
      </w:r>
      <w:r>
        <w:rPr>
          <w:rFonts w:hint="eastAsia" w:ascii="仿宋" w:hAnsi="仿宋" w:eastAsia="仿宋"/>
          <w:sz w:val="32"/>
          <w:highlight w:val="none"/>
        </w:rPr>
        <w:t>号地块：出让起始价为人民币大写</w:t>
      </w:r>
      <w:r>
        <w:rPr>
          <w:rFonts w:hint="eastAsia" w:ascii="仿宋" w:hAnsi="仿宋" w:eastAsia="仿宋"/>
          <w:sz w:val="32"/>
          <w:highlight w:val="none"/>
          <w:lang w:val="en-US" w:eastAsia="zh-CN"/>
        </w:rPr>
        <w:t>陆仟柒佰伍拾</w:t>
      </w:r>
      <w:r>
        <w:rPr>
          <w:rFonts w:hint="eastAsia" w:ascii="仿宋" w:hAnsi="仿宋" w:eastAsia="仿宋"/>
          <w:sz w:val="32"/>
          <w:highlight w:val="none"/>
        </w:rPr>
        <w:t>万元整（￥</w:t>
      </w:r>
      <w:r>
        <w:rPr>
          <w:rFonts w:hint="eastAsia" w:ascii="仿宋" w:hAnsi="仿宋" w:eastAsia="仿宋"/>
          <w:sz w:val="32"/>
          <w:highlight w:val="none"/>
          <w:lang w:val="en-US" w:eastAsia="zh-CN"/>
        </w:rPr>
        <w:t>67500</w:t>
      </w:r>
      <w:r>
        <w:rPr>
          <w:rFonts w:ascii="仿宋" w:hAnsi="仿宋" w:eastAsia="仿宋"/>
          <w:sz w:val="32"/>
          <w:highlight w:val="none"/>
        </w:rPr>
        <w:t>000.00</w:t>
      </w:r>
      <w:r>
        <w:rPr>
          <w:rFonts w:hint="eastAsia" w:ascii="仿宋" w:hAnsi="仿宋" w:eastAsia="仿宋"/>
          <w:sz w:val="32"/>
          <w:highlight w:val="none"/>
        </w:rPr>
        <w:t>），增价幅度为人民币大写壹拾万元或壹拾万元的整倍数</w:t>
      </w:r>
      <w:r>
        <w:rPr>
          <w:rFonts w:hint="eastAsia" w:ascii="仿宋" w:hAnsi="仿宋" w:eastAsia="仿宋"/>
          <w:sz w:val="32"/>
          <w:highlight w:val="none"/>
          <w:lang w:eastAsia="zh-CN"/>
        </w:rPr>
        <w:t>。</w:t>
      </w:r>
    </w:p>
    <w:p w14:paraId="5C98B869">
      <w:pPr>
        <w:spacing w:line="540" w:lineRule="exact"/>
        <w:ind w:firstLine="640" w:firstLineChars="200"/>
        <w:rPr>
          <w:rFonts w:hint="eastAsia" w:ascii="仿宋" w:hAnsi="仿宋" w:eastAsia="仿宋"/>
          <w:sz w:val="32"/>
          <w:highlight w:val="none"/>
          <w:lang w:eastAsia="zh-CN"/>
        </w:rPr>
      </w:pPr>
      <w:r>
        <w:rPr>
          <w:rFonts w:hint="eastAsia" w:ascii="仿宋" w:hAnsi="仿宋" w:eastAsia="仿宋"/>
          <w:sz w:val="32"/>
          <w:szCs w:val="44"/>
          <w:highlight w:val="none"/>
          <w:lang w:val="en-US" w:eastAsia="zh-CN"/>
        </w:rPr>
        <w:t>G26040</w:t>
      </w:r>
      <w:r>
        <w:rPr>
          <w:rFonts w:hint="eastAsia" w:ascii="仿宋" w:hAnsi="仿宋" w:eastAsia="仿宋"/>
          <w:sz w:val="32"/>
          <w:highlight w:val="none"/>
        </w:rPr>
        <w:t>号地块：出让起始价为人民币大写</w:t>
      </w:r>
      <w:r>
        <w:rPr>
          <w:rFonts w:hint="eastAsia" w:ascii="仿宋" w:hAnsi="仿宋" w:eastAsia="仿宋"/>
          <w:sz w:val="32"/>
          <w:highlight w:val="none"/>
          <w:lang w:val="en-US" w:eastAsia="zh-CN"/>
        </w:rPr>
        <w:t>柒佰柒拾</w:t>
      </w:r>
      <w:r>
        <w:rPr>
          <w:rFonts w:hint="eastAsia" w:ascii="仿宋" w:hAnsi="仿宋" w:eastAsia="仿宋"/>
          <w:sz w:val="32"/>
          <w:highlight w:val="none"/>
        </w:rPr>
        <w:t>万元整（￥</w:t>
      </w:r>
      <w:r>
        <w:rPr>
          <w:rFonts w:hint="eastAsia" w:ascii="仿宋" w:hAnsi="仿宋" w:eastAsia="仿宋"/>
          <w:sz w:val="32"/>
          <w:highlight w:val="none"/>
          <w:lang w:val="en-US" w:eastAsia="zh-CN"/>
        </w:rPr>
        <w:t>7700</w:t>
      </w:r>
      <w:r>
        <w:rPr>
          <w:rFonts w:ascii="仿宋" w:hAnsi="仿宋" w:eastAsia="仿宋"/>
          <w:sz w:val="32"/>
          <w:highlight w:val="none"/>
        </w:rPr>
        <w:t>000.00</w:t>
      </w:r>
      <w:r>
        <w:rPr>
          <w:rFonts w:hint="eastAsia" w:ascii="仿宋" w:hAnsi="仿宋" w:eastAsia="仿宋"/>
          <w:sz w:val="32"/>
          <w:highlight w:val="none"/>
        </w:rPr>
        <w:t>），增价幅度为人民币大写壹拾万元或壹拾万元的整倍数</w:t>
      </w:r>
      <w:r>
        <w:rPr>
          <w:rFonts w:hint="eastAsia" w:ascii="仿宋" w:hAnsi="仿宋" w:eastAsia="仿宋"/>
          <w:sz w:val="32"/>
          <w:highlight w:val="none"/>
          <w:lang w:eastAsia="zh-CN"/>
        </w:rPr>
        <w:t>。</w:t>
      </w:r>
    </w:p>
    <w:p w14:paraId="3F6A2F67">
      <w:pPr>
        <w:spacing w:line="540" w:lineRule="exact"/>
        <w:ind w:firstLine="640" w:firstLineChars="200"/>
        <w:rPr>
          <w:rFonts w:hint="eastAsia" w:ascii="仿宋" w:hAnsi="仿宋" w:eastAsia="仿宋"/>
          <w:sz w:val="32"/>
          <w:highlight w:val="none"/>
          <w:lang w:eastAsia="zh-CN"/>
        </w:rPr>
      </w:pPr>
      <w:r>
        <w:rPr>
          <w:rFonts w:hint="eastAsia" w:ascii="仿宋" w:hAnsi="仿宋" w:eastAsia="仿宋"/>
          <w:sz w:val="32"/>
          <w:szCs w:val="44"/>
          <w:highlight w:val="none"/>
          <w:lang w:val="en-US" w:eastAsia="zh-CN"/>
        </w:rPr>
        <w:t>G26041</w:t>
      </w:r>
      <w:r>
        <w:rPr>
          <w:rFonts w:hint="eastAsia" w:ascii="仿宋" w:hAnsi="仿宋" w:eastAsia="仿宋"/>
          <w:sz w:val="32"/>
          <w:highlight w:val="none"/>
        </w:rPr>
        <w:t>号地块：出让起始价为人民币大写</w:t>
      </w:r>
      <w:r>
        <w:rPr>
          <w:rFonts w:hint="eastAsia" w:ascii="仿宋" w:hAnsi="仿宋" w:eastAsia="仿宋"/>
          <w:sz w:val="32"/>
          <w:highlight w:val="none"/>
          <w:lang w:val="en-US" w:eastAsia="zh-CN"/>
        </w:rPr>
        <w:t>陆佰柒拾</w:t>
      </w:r>
      <w:r>
        <w:rPr>
          <w:rFonts w:hint="eastAsia" w:ascii="仿宋" w:hAnsi="仿宋" w:eastAsia="仿宋"/>
          <w:sz w:val="32"/>
          <w:highlight w:val="none"/>
        </w:rPr>
        <w:t>万元整（￥</w:t>
      </w:r>
      <w:r>
        <w:rPr>
          <w:rFonts w:hint="eastAsia" w:ascii="仿宋" w:hAnsi="仿宋" w:eastAsia="仿宋"/>
          <w:sz w:val="32"/>
          <w:highlight w:val="none"/>
          <w:lang w:val="en-US" w:eastAsia="zh-CN"/>
        </w:rPr>
        <w:t>6700</w:t>
      </w:r>
      <w:r>
        <w:rPr>
          <w:rFonts w:ascii="仿宋" w:hAnsi="仿宋" w:eastAsia="仿宋"/>
          <w:sz w:val="32"/>
          <w:highlight w:val="none"/>
        </w:rPr>
        <w:t>000.00</w:t>
      </w:r>
      <w:r>
        <w:rPr>
          <w:rFonts w:hint="eastAsia" w:ascii="仿宋" w:hAnsi="仿宋" w:eastAsia="仿宋"/>
          <w:sz w:val="32"/>
          <w:highlight w:val="none"/>
        </w:rPr>
        <w:t>），增价幅度为人民币大写壹拾万元或壹拾万元的整倍数</w:t>
      </w:r>
      <w:r>
        <w:rPr>
          <w:rFonts w:hint="eastAsia" w:ascii="仿宋" w:hAnsi="仿宋" w:eastAsia="仿宋"/>
          <w:sz w:val="32"/>
          <w:highlight w:val="none"/>
          <w:lang w:eastAsia="zh-CN"/>
        </w:rPr>
        <w:t>。</w:t>
      </w:r>
    </w:p>
    <w:p w14:paraId="43BCA381">
      <w:pPr>
        <w:spacing w:line="540" w:lineRule="exact"/>
        <w:ind w:firstLine="640" w:firstLineChars="200"/>
        <w:rPr>
          <w:rFonts w:hint="eastAsia" w:ascii="仿宋" w:hAnsi="仿宋" w:eastAsia="仿宋"/>
          <w:sz w:val="32"/>
          <w:highlight w:val="none"/>
          <w:lang w:eastAsia="zh-CN"/>
        </w:rPr>
      </w:pPr>
    </w:p>
    <w:p w14:paraId="5D44AE44">
      <w:pPr>
        <w:spacing w:line="540" w:lineRule="exact"/>
        <w:ind w:firstLine="640" w:firstLineChars="200"/>
        <w:rPr>
          <w:rFonts w:hint="eastAsia" w:ascii="仿宋" w:hAnsi="仿宋" w:eastAsia="仿宋"/>
          <w:sz w:val="32"/>
          <w:highlight w:val="none"/>
          <w:lang w:eastAsia="zh-CN"/>
        </w:rPr>
      </w:pPr>
    </w:p>
    <w:p w14:paraId="5FEFEA6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en-US" w:eastAsia="zh-CN"/>
        </w:rPr>
        <w:t>（三）</w:t>
      </w:r>
      <w:r>
        <w:rPr>
          <w:rFonts w:hint="eastAsia" w:eastAsia="仿宋_GB2312"/>
          <w:sz w:val="32"/>
          <w:lang w:val="zh-CN" w:eastAsia="zh-CN"/>
        </w:rPr>
        <w:t>在报价期间，竞买人可多次报价。</w:t>
      </w:r>
    </w:p>
    <w:p w14:paraId="4028826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（四）竞买人通过系统提交的报价一经报出，不得撤回。</w:t>
      </w:r>
    </w:p>
    <w:p w14:paraId="6ADD52E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（五）竞买人报价有下列情形之一的，为无效报价：</w:t>
      </w:r>
    </w:p>
    <w:p w14:paraId="209155E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1、报价因竞买人网络故障未在挂牌报价期限内报价的；</w:t>
      </w:r>
    </w:p>
    <w:p w14:paraId="53FBB84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2、报价不符合报价规则的；</w:t>
      </w:r>
    </w:p>
    <w:p w14:paraId="4448F8B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3、报价与竞买文件不符的；</w:t>
      </w:r>
    </w:p>
    <w:p w14:paraId="3673D34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4、报价不符合挂牌文件规定的其他情形的。</w:t>
      </w:r>
    </w:p>
    <w:p w14:paraId="062B291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十二、注意事项</w:t>
      </w:r>
    </w:p>
    <w:p w14:paraId="5A63CA1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挂牌期满，网上挂牌出让成交确认系统根据下列条件自动确定竞得人：</w:t>
      </w:r>
    </w:p>
    <w:p w14:paraId="44CAA4E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（一）在挂牌期限内，只有一个竞买人报价，且报价等于或高于底价，挂牌成交；</w:t>
      </w:r>
    </w:p>
    <w:p w14:paraId="14058F8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（二）在挂牌期限内，有两个或者两个以上竞买人报价的，报价等于或高于底价，且出价最高者为竞得人；</w:t>
      </w:r>
    </w:p>
    <w:p w14:paraId="4DCC6A8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（三）在挂牌期限内，无应价者或竞买人的报价均低于底价的，挂牌不成交；</w:t>
      </w:r>
    </w:p>
    <w:p w14:paraId="015010C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zh-CN" w:eastAsia="zh-CN"/>
        </w:rPr>
        <w:t>（四）</w:t>
      </w:r>
      <w:r>
        <w:rPr>
          <w:rFonts w:hint="eastAsia" w:eastAsia="仿宋_GB2312"/>
          <w:sz w:val="32"/>
          <w:lang w:val="en-US" w:eastAsia="zh-CN"/>
        </w:rPr>
        <w:t>在挂牌期限截止前10分钟，竞买人必须在挂牌报价期间最少有一次报价，才能进入最后的限时报价；</w:t>
      </w:r>
    </w:p>
    <w:p w14:paraId="6A83522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zh-CN" w:eastAsia="zh-CN"/>
        </w:rPr>
        <w:t>（</w:t>
      </w:r>
      <w:r>
        <w:rPr>
          <w:rFonts w:hint="eastAsia" w:eastAsia="仿宋_GB2312"/>
          <w:sz w:val="32"/>
          <w:lang w:val="en-US" w:eastAsia="zh-CN"/>
        </w:rPr>
        <w:t>五</w:t>
      </w:r>
      <w:r>
        <w:rPr>
          <w:rFonts w:hint="eastAsia" w:eastAsia="仿宋_GB2312"/>
          <w:sz w:val="32"/>
          <w:lang w:val="zh-CN" w:eastAsia="zh-CN"/>
        </w:rPr>
        <w:t>）</w:t>
      </w:r>
      <w:r>
        <w:rPr>
          <w:rFonts w:hint="eastAsia" w:eastAsia="仿宋_GB2312"/>
          <w:sz w:val="32"/>
          <w:lang w:val="en-US" w:eastAsia="zh-CN"/>
        </w:rPr>
        <w:t>在挂牌期限截止时前10分钟内仍有竞买人报价的，将对挂牌宗地进行网上限时竞价，报价最高且报价等于或高于底价者为竞得人。</w:t>
      </w:r>
    </w:p>
    <w:p w14:paraId="7B5D9D9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zh-CN" w:eastAsia="zh-CN"/>
        </w:rPr>
        <w:t>（</w:t>
      </w:r>
      <w:r>
        <w:rPr>
          <w:rFonts w:hint="eastAsia" w:eastAsia="仿宋_GB2312"/>
          <w:sz w:val="32"/>
          <w:lang w:val="en-US" w:eastAsia="zh-CN"/>
        </w:rPr>
        <w:t>六</w:t>
      </w:r>
      <w:r>
        <w:rPr>
          <w:rFonts w:hint="eastAsia" w:eastAsia="仿宋_GB2312"/>
          <w:sz w:val="32"/>
          <w:lang w:val="zh-CN" w:eastAsia="zh-CN"/>
        </w:rPr>
        <w:t>）</w:t>
      </w:r>
      <w:r>
        <w:rPr>
          <w:rFonts w:hint="eastAsia" w:eastAsia="仿宋_GB2312"/>
          <w:sz w:val="32"/>
          <w:lang w:val="en-US" w:eastAsia="zh-CN"/>
        </w:rPr>
        <w:t>本次交易活动限制存在失信记录的竞买申请人参与本次网上挂牌出让活动。竞买申请人提交申请前应当自行通过“信用中国”网站（http://www.creditchina.gov.cn）或各级信用共享平台查询是否有失信记录，并须做到在参加网上挂牌竞买活动期间无失信记录。竞得人在签订《成交确认书》前，大冶市公共资源交易中心通过“信用中国”网站查询竞得人是否存在失信记录并截图取证，竞得人存在失信记录的取消其竞得资格，交易结果无效，交纳的竞买保证金不予退还。</w:t>
      </w:r>
    </w:p>
    <w:p w14:paraId="6A9A284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七）申请人竞得土地后，拟成立新公司进行开发建设的，应在申请书中明确新公司的出资构成、成立时间等内容。大冶市自然资源和规划局可以根据挂牌出让结果与竞得人签订《国有建设用地使用权出让合同》，在竞得人按约定办理完新公司注册登记手续后，再与新公司签订《国有建设用地使用权出让合同变更协议》，或者直接与新公司签订《国有建设用地使用权出让合同》。</w:t>
      </w:r>
    </w:p>
    <w:p w14:paraId="5B81C6A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非房地产开发企业申请竞得土地后，拟与有资质房地产开发公司签订联合开发合同，依照有关法律、行政法规的规定，作价入股，合资、合作开发经营房地产的，应在申请书中明确联合开发企业的名称、合作时间、方式等内容。大冶市自然资源和规划局可以根据挂牌出让结果与竞得人签订《国有建设用地使用权出让合同》，在竞得人按约定落实联合开发事项后，再与合作企业签订《国有建设用地使用权出让合同变更协议》，或者直接与合作企业签订《国有建设用地使用权出让合同》。</w:t>
      </w:r>
    </w:p>
    <w:p w14:paraId="606CDDA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（八）本次公开出让地块均设有出让底价，在公开出让活动结束前须严格保密。</w:t>
      </w:r>
    </w:p>
    <w:p w14:paraId="0B7A2DC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九）网上挂牌出让结果公布后，竞得人应当在3个工作日内持有关资料原件与大冶市自然资源和规划局签订《成交确认书》，委托人代签的，应提交法定代表人亲笔签名并盖章的授权委托书。《成交确认书》对出让人和竞得人具有法律效力，出让人改变公开出让结果的，或者竞得人放弃竞得宗地的，应当承担法律效力。</w:t>
      </w:r>
    </w:p>
    <w:p w14:paraId="05F9FA5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（十）竞得人的竞买保证金转作受让地块的定金；未竞得人的竞买保证金将于网上挂牌活动结束后5个工作日内不计利息全额退还。</w:t>
      </w:r>
    </w:p>
    <w:p w14:paraId="5C27D82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w:t>
      </w:r>
      <w:r>
        <w:rPr>
          <w:rFonts w:hint="eastAsia" w:eastAsia="仿宋_GB2312"/>
          <w:sz w:val="32"/>
          <w:lang w:val="en-US" w:eastAsia="zh-CN"/>
        </w:rPr>
        <w:t>十一</w:t>
      </w:r>
      <w:r>
        <w:rPr>
          <w:rFonts w:hint="eastAsia" w:eastAsia="仿宋_GB2312"/>
          <w:sz w:val="32"/>
          <w:lang w:val="zh-CN" w:eastAsia="zh-CN"/>
        </w:rPr>
        <w:t>）有下列情形之一的，大冶市公共资源交易中心将中（终）止挂牌活动：</w:t>
      </w:r>
    </w:p>
    <w:p w14:paraId="2F99951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1、因系统遭受破坏或发生电力、网络故障等不可抗力以及网络恶意入侵等非挂牌人因素，导致系统不能正常运行的；</w:t>
      </w:r>
    </w:p>
    <w:p w14:paraId="3CF7D26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2、竞买人串通损害国家利益、社会利益或他人合法权益的；</w:t>
      </w:r>
    </w:p>
    <w:p w14:paraId="024F632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3、出让工作人员私下接触竞买人，足以影响公开出让公正性的；</w:t>
      </w:r>
    </w:p>
    <w:p w14:paraId="698411D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4、应当依法中（终）止公开出让活动的其他情形。</w:t>
      </w:r>
    </w:p>
    <w:p w14:paraId="4AFC24A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w:t>
      </w:r>
      <w:r>
        <w:rPr>
          <w:rFonts w:hint="eastAsia" w:eastAsia="仿宋_GB2312"/>
          <w:sz w:val="32"/>
          <w:lang w:val="en-US" w:eastAsia="zh-CN"/>
        </w:rPr>
        <w:t>十二</w:t>
      </w:r>
      <w:r>
        <w:rPr>
          <w:rFonts w:hint="eastAsia" w:eastAsia="仿宋_GB2312"/>
          <w:sz w:val="32"/>
          <w:lang w:val="zh-CN" w:eastAsia="zh-CN"/>
        </w:rPr>
        <w:t>）竞得人有下列行为的视为违约，视为违约，出让人可取消其竞得人资格，竞买保证金不予退还：</w:t>
      </w:r>
    </w:p>
    <w:p w14:paraId="4B15187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1、竞得人逾期或拒绝签订《成交确认书》的；</w:t>
      </w:r>
    </w:p>
    <w:p w14:paraId="2D03827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2、竞得人逾期或拒绝签订《国有建设用地使用权出让合同》的；</w:t>
      </w:r>
    </w:p>
    <w:p w14:paraId="759FE45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zh-CN" w:eastAsia="zh-CN"/>
        </w:rPr>
        <w:t>（</w:t>
      </w:r>
      <w:r>
        <w:rPr>
          <w:rFonts w:hint="eastAsia" w:eastAsia="仿宋_GB2312"/>
          <w:sz w:val="32"/>
          <w:lang w:val="en-US" w:eastAsia="zh-CN"/>
        </w:rPr>
        <w:t>十三</w:t>
      </w:r>
      <w:r>
        <w:rPr>
          <w:rFonts w:hint="eastAsia" w:eastAsia="仿宋_GB2312"/>
          <w:sz w:val="32"/>
          <w:lang w:val="zh-CN" w:eastAsia="zh-CN"/>
        </w:rPr>
        <w:t>）竞得人有下列行为之一的，竞得结果无效，造成损失的，应当依法承担赔偿责任：</w:t>
      </w:r>
    </w:p>
    <w:p w14:paraId="3D7F77D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1、采取行贿、恶意串通等非法手段竞得的；</w:t>
      </w:r>
    </w:p>
    <w:p w14:paraId="6D5A307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2、提供的注册信息不真实、不准确、不完整等原因造成宗地出让无法成交的；</w:t>
      </w:r>
    </w:p>
    <w:p w14:paraId="4A7DE07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3、不按网上注册时登记的内容提供有关文件材料，或提供虚假文件材料、隐瞒事实，引起出让纠纷的；</w:t>
      </w:r>
    </w:p>
    <w:p w14:paraId="08BF730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4、构成违约责任的其他行为。</w:t>
      </w:r>
    </w:p>
    <w:p w14:paraId="4C23040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（十四）上述宗地出让成交价为宗地的总地价款。</w:t>
      </w:r>
    </w:p>
    <w:p w14:paraId="47A0B4B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en-US" w:eastAsia="zh-CN"/>
        </w:rPr>
        <w:t>（十</w:t>
      </w:r>
      <w:r>
        <w:rPr>
          <w:rFonts w:hint="eastAsia" w:eastAsia="仿宋_GB2312"/>
          <w:sz w:val="32"/>
          <w:lang w:val="zh-CN" w:eastAsia="zh-CN"/>
        </w:rPr>
        <w:t>五</w:t>
      </w:r>
      <w:r>
        <w:rPr>
          <w:rFonts w:hint="eastAsia" w:eastAsia="仿宋_GB2312"/>
          <w:sz w:val="32"/>
          <w:lang w:val="en-US" w:eastAsia="zh-CN"/>
        </w:rPr>
        <w:t>）竞得人与出让人签订</w:t>
      </w:r>
      <w:r>
        <w:rPr>
          <w:rFonts w:hint="eastAsia" w:eastAsia="仿宋_GB2312"/>
          <w:sz w:val="32"/>
          <w:lang w:val="zh-CN" w:eastAsia="zh-CN"/>
        </w:rPr>
        <w:t>《国有建设用地使用权出让合同》后，应当按出让合同约定支付出让成交价款，竞得人不能按时支付国有建设用地使用权出让价款的，自滞纳之日起，每日按迟延支付款项的1‰向出让人缴纳违约金。竞得人付清全部出让成交价款后，依法申请办理土地登记。</w:t>
      </w:r>
    </w:p>
    <w:p w14:paraId="577E75D1">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（十六）公开出让不成交的，应当按规定由大冶市公共资源交易中心重新组织出让。</w:t>
      </w:r>
    </w:p>
    <w:p w14:paraId="3B257A8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（十七）参加公开出让活动的人员，应遵守现场的纪律，服从管理人员的管理。</w:t>
      </w:r>
    </w:p>
    <w:p w14:paraId="76B838B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zh-CN" w:eastAsia="zh-CN"/>
        </w:rPr>
      </w:pPr>
      <w:r>
        <w:rPr>
          <w:rFonts w:hint="eastAsia" w:eastAsia="仿宋_GB2312"/>
          <w:sz w:val="32"/>
          <w:lang w:val="zh-CN" w:eastAsia="zh-CN"/>
        </w:rPr>
        <w:t>（十</w:t>
      </w:r>
      <w:r>
        <w:rPr>
          <w:rFonts w:hint="eastAsia" w:eastAsia="仿宋_GB2312"/>
          <w:sz w:val="32"/>
          <w:lang w:val="en-US" w:eastAsia="zh-CN"/>
        </w:rPr>
        <w:t>八</w:t>
      </w:r>
      <w:r>
        <w:rPr>
          <w:rFonts w:hint="eastAsia" w:eastAsia="仿宋_GB2312"/>
          <w:sz w:val="32"/>
          <w:lang w:val="zh-CN" w:eastAsia="zh-CN"/>
        </w:rPr>
        <w:t>）大冶市自然资源和规划局和大冶市公共资源交易中心对本《出让须知》有解释权。未尽事宜依照《招标拍卖挂牌出让国有土地使用权规范》办理。</w:t>
      </w:r>
    </w:p>
    <w:p w14:paraId="2708B6DC">
      <w:pPr>
        <w:spacing w:line="540" w:lineRule="exact"/>
        <w:ind w:firstLine="640" w:firstLineChars="200"/>
        <w:rPr>
          <w:rFonts w:hint="eastAsia" w:ascii="仿宋" w:hAnsi="仿宋" w:eastAsia="仿宋"/>
          <w:sz w:val="32"/>
        </w:rPr>
      </w:pPr>
      <w:r>
        <w:rPr>
          <w:rFonts w:hint="eastAsia" w:eastAsia="仿宋_GB2312"/>
          <w:sz w:val="32"/>
          <w:lang w:val="zh-CN" w:eastAsia="zh-CN"/>
        </w:rPr>
        <w:t>（十</w:t>
      </w:r>
      <w:r>
        <w:rPr>
          <w:rFonts w:hint="eastAsia" w:eastAsia="仿宋_GB2312"/>
          <w:sz w:val="32"/>
          <w:lang w:val="en-US" w:eastAsia="zh-CN"/>
        </w:rPr>
        <w:t>九</w:t>
      </w:r>
      <w:r>
        <w:rPr>
          <w:rFonts w:hint="eastAsia" w:eastAsia="仿宋_GB2312"/>
          <w:sz w:val="32"/>
          <w:lang w:val="zh-CN" w:eastAsia="zh-CN"/>
        </w:rPr>
        <w:t>）</w:t>
      </w:r>
      <w:r>
        <w:rPr>
          <w:rFonts w:hint="eastAsia" w:ascii="仿宋" w:hAnsi="仿宋" w:eastAsia="仿宋"/>
          <w:sz w:val="32"/>
          <w:lang w:val="en-US" w:eastAsia="zh-CN"/>
        </w:rPr>
        <w:t>本次公开出让同时面向社会公众公开征求意见，如有异议可通过信函方式或现场反映意见至大冶市新冶大道24号（接待人：</w:t>
      </w:r>
      <w:r>
        <w:rPr>
          <w:rFonts w:hint="eastAsia" w:ascii="仿宋" w:hAnsi="仿宋" w:eastAsia="仿宋"/>
          <w:sz w:val="32"/>
          <w:highlight w:val="none"/>
          <w:lang w:val="en-US" w:eastAsia="zh-CN"/>
        </w:rPr>
        <w:t>余先生；电话：0714-8769970</w:t>
      </w:r>
      <w:r>
        <w:rPr>
          <w:rFonts w:hint="eastAsia" w:ascii="仿宋" w:hAnsi="仿宋" w:eastAsia="仿宋"/>
          <w:sz w:val="32"/>
          <w:lang w:val="en-US" w:eastAsia="zh-CN"/>
        </w:rPr>
        <w:t>)。</w:t>
      </w:r>
    </w:p>
    <w:p w14:paraId="3617FF59"/>
    <w:p w14:paraId="5D7F034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24F14D7A">
      <w:pPr>
        <w:keepNext w:val="0"/>
        <w:keepLines w:val="0"/>
        <w:pageBreakBefore w:val="0"/>
        <w:widowControl w:val="0"/>
        <w:kinsoku/>
        <w:wordWrap/>
        <w:overflowPunct/>
        <w:topLinePunct w:val="0"/>
        <w:autoSpaceDE/>
        <w:autoSpaceDN/>
        <w:bidi w:val="0"/>
        <w:adjustRightInd/>
        <w:snapToGrid/>
        <w:spacing w:line="500" w:lineRule="exact"/>
        <w:ind w:firstLine="3200" w:firstLineChars="1000"/>
        <w:textAlignment w:val="auto"/>
        <w:rPr>
          <w:rFonts w:hint="eastAsia" w:eastAsia="仿宋_GB2312"/>
          <w:sz w:val="32"/>
          <w:lang w:val="en-US" w:eastAsia="zh-CN"/>
        </w:rPr>
      </w:pPr>
      <w:r>
        <w:rPr>
          <w:rFonts w:hint="eastAsia" w:eastAsia="仿宋_GB2312"/>
          <w:sz w:val="32"/>
          <w:lang w:val="en-US" w:eastAsia="zh-CN"/>
        </w:rPr>
        <w:t>出让人: 大冶市自然资源和规划局</w:t>
      </w:r>
    </w:p>
    <w:p w14:paraId="1F43B588">
      <w:pPr>
        <w:keepNext w:val="0"/>
        <w:keepLines w:val="0"/>
        <w:pageBreakBefore w:val="0"/>
        <w:widowControl w:val="0"/>
        <w:kinsoku/>
        <w:wordWrap/>
        <w:overflowPunct/>
        <w:topLinePunct w:val="0"/>
        <w:autoSpaceDE/>
        <w:autoSpaceDN/>
        <w:bidi w:val="0"/>
        <w:adjustRightInd/>
        <w:snapToGrid/>
        <w:spacing w:line="500" w:lineRule="exact"/>
        <w:ind w:firstLine="3200" w:firstLineChars="1000"/>
        <w:textAlignment w:val="auto"/>
        <w:rPr>
          <w:rFonts w:hint="eastAsia" w:eastAsia="仿宋_GB2312"/>
          <w:sz w:val="32"/>
          <w:lang w:val="en-US" w:eastAsia="zh-CN"/>
        </w:rPr>
      </w:pPr>
      <w:r>
        <w:rPr>
          <w:rFonts w:hint="eastAsia" w:eastAsia="仿宋_GB2312"/>
          <w:sz w:val="32"/>
          <w:lang w:val="en-US" w:eastAsia="zh-CN"/>
        </w:rPr>
        <w:t>挂牌人：大冶市公共资源交易中心</w:t>
      </w:r>
    </w:p>
    <w:p w14:paraId="5CBAF781">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r>
        <w:rPr>
          <w:rFonts w:hint="eastAsia" w:eastAsia="仿宋_GB2312"/>
          <w:sz w:val="32"/>
          <w:lang w:val="en-US" w:eastAsia="zh-CN"/>
        </w:rPr>
        <w:t xml:space="preserve">                          2026年9月24</w:t>
      </w:r>
      <w:bookmarkStart w:id="0" w:name="_GoBack"/>
      <w:bookmarkEnd w:id="0"/>
      <w:r>
        <w:rPr>
          <w:rFonts w:hint="eastAsia" w:eastAsia="仿宋_GB2312"/>
          <w:sz w:val="32"/>
          <w:lang w:val="en-US" w:eastAsia="zh-CN"/>
        </w:rPr>
        <w:t>日</w:t>
      </w:r>
    </w:p>
    <w:p w14:paraId="7CE49C5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5E22872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648535C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4F3D5FB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77DD7E2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22E0A0D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7C2A791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25AAF22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19921D0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028E9B5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76D3059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17CFB69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7FE8BD8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0A16B91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71E7418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p w14:paraId="126D527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eastAsia="仿宋_GB2312"/>
          <w:sz w:val="32"/>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8BB4B">
    <w:pPr>
      <w:pStyle w:val="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992712992"/>
                          </w:sdtPr>
                          <w:sdtContent>
                            <w:p w14:paraId="14E41ADE">
                              <w:pPr>
                                <w:pStyle w:val="5"/>
                                <w:jc w:val="center"/>
                              </w:pPr>
                              <w:r>
                                <w:fldChar w:fldCharType="begin"/>
                              </w:r>
                              <w:r>
                                <w:instrText xml:space="preserve">PAGE   \* MERGEFORMAT</w:instrText>
                              </w:r>
                              <w:r>
                                <w:fldChar w:fldCharType="separate"/>
                              </w:r>
                              <w:r>
                                <w:rPr>
                                  <w:lang w:val="zh-CN"/>
                                </w:rPr>
                                <w:t>1</w:t>
                              </w:r>
                              <w:r>
                                <w:fldChar w:fldCharType="end"/>
                              </w:r>
                            </w:p>
                          </w:sdtContent>
                        </w:sdt>
                        <w:p w14:paraId="718BB3D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sdt>
                    <w:sdtPr>
                      <w:id w:val="-992712992"/>
                    </w:sdtPr>
                    <w:sdtContent>
                      <w:p w14:paraId="14E41ADE">
                        <w:pPr>
                          <w:pStyle w:val="5"/>
                          <w:jc w:val="center"/>
                        </w:pPr>
                        <w:r>
                          <w:fldChar w:fldCharType="begin"/>
                        </w:r>
                        <w:r>
                          <w:instrText xml:space="preserve">PAGE   \* MERGEFORMAT</w:instrText>
                        </w:r>
                        <w:r>
                          <w:fldChar w:fldCharType="separate"/>
                        </w:r>
                        <w:r>
                          <w:rPr>
                            <w:lang w:val="zh-CN"/>
                          </w:rPr>
                          <w:t>1</w:t>
                        </w:r>
                        <w:r>
                          <w:fldChar w:fldCharType="end"/>
                        </w:r>
                      </w:p>
                    </w:sdtContent>
                  </w:sdt>
                  <w:p w14:paraId="718BB3D8"/>
                </w:txbxContent>
              </v:textbox>
            </v:shape>
          </w:pict>
        </mc:Fallback>
      </mc:AlternateContent>
    </w:r>
  </w:p>
  <w:p w14:paraId="7CDCA91D">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2411A">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63E1BE"/>
    <w:multiLevelType w:val="singleLevel"/>
    <w:tmpl w:val="1F63E1B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2YzIwOTA2MDQyYmUyOGZkNDJhMzNiZDQ2ODljMTMifQ=="/>
  </w:docVars>
  <w:rsids>
    <w:rsidRoot w:val="00485EA7"/>
    <w:rsid w:val="00017D57"/>
    <w:rsid w:val="0004655D"/>
    <w:rsid w:val="00063C93"/>
    <w:rsid w:val="000B0193"/>
    <w:rsid w:val="000B369F"/>
    <w:rsid w:val="0013704A"/>
    <w:rsid w:val="00161710"/>
    <w:rsid w:val="00191FA6"/>
    <w:rsid w:val="001F0BC6"/>
    <w:rsid w:val="002169D1"/>
    <w:rsid w:val="00256845"/>
    <w:rsid w:val="00274595"/>
    <w:rsid w:val="00384597"/>
    <w:rsid w:val="003C2082"/>
    <w:rsid w:val="003D407D"/>
    <w:rsid w:val="004668F7"/>
    <w:rsid w:val="004707F7"/>
    <w:rsid w:val="00485EA7"/>
    <w:rsid w:val="004A7191"/>
    <w:rsid w:val="004F5862"/>
    <w:rsid w:val="00526F71"/>
    <w:rsid w:val="00537E93"/>
    <w:rsid w:val="00581546"/>
    <w:rsid w:val="0059520E"/>
    <w:rsid w:val="005E08BE"/>
    <w:rsid w:val="00651652"/>
    <w:rsid w:val="006903AF"/>
    <w:rsid w:val="006A1119"/>
    <w:rsid w:val="006E3433"/>
    <w:rsid w:val="00750654"/>
    <w:rsid w:val="00772468"/>
    <w:rsid w:val="007978A7"/>
    <w:rsid w:val="007A23C5"/>
    <w:rsid w:val="007A68C0"/>
    <w:rsid w:val="007F6B22"/>
    <w:rsid w:val="0086539F"/>
    <w:rsid w:val="008832BA"/>
    <w:rsid w:val="008F4E15"/>
    <w:rsid w:val="008F5690"/>
    <w:rsid w:val="00935A74"/>
    <w:rsid w:val="00954E25"/>
    <w:rsid w:val="009B3888"/>
    <w:rsid w:val="009B6922"/>
    <w:rsid w:val="00A07983"/>
    <w:rsid w:val="00A262DF"/>
    <w:rsid w:val="00A41AA2"/>
    <w:rsid w:val="00A61DA6"/>
    <w:rsid w:val="00A76A57"/>
    <w:rsid w:val="00A81E04"/>
    <w:rsid w:val="00AC2AE1"/>
    <w:rsid w:val="00AE3E74"/>
    <w:rsid w:val="00AE56BD"/>
    <w:rsid w:val="00B23622"/>
    <w:rsid w:val="00B3093C"/>
    <w:rsid w:val="00B31EB2"/>
    <w:rsid w:val="00B32B82"/>
    <w:rsid w:val="00B53BC3"/>
    <w:rsid w:val="00B759F5"/>
    <w:rsid w:val="00BD6DC2"/>
    <w:rsid w:val="00BF43F5"/>
    <w:rsid w:val="00BF48D1"/>
    <w:rsid w:val="00C12AC2"/>
    <w:rsid w:val="00C5453F"/>
    <w:rsid w:val="00C820DF"/>
    <w:rsid w:val="00D3529F"/>
    <w:rsid w:val="00D515AA"/>
    <w:rsid w:val="00D53510"/>
    <w:rsid w:val="00DB28EB"/>
    <w:rsid w:val="00DF0199"/>
    <w:rsid w:val="00DF51C4"/>
    <w:rsid w:val="00E338A3"/>
    <w:rsid w:val="00E3595E"/>
    <w:rsid w:val="00EB635F"/>
    <w:rsid w:val="00ED7D7C"/>
    <w:rsid w:val="00F01FAE"/>
    <w:rsid w:val="00F8183B"/>
    <w:rsid w:val="00FA5FC1"/>
    <w:rsid w:val="01470A8A"/>
    <w:rsid w:val="0234146B"/>
    <w:rsid w:val="026B1CAC"/>
    <w:rsid w:val="02A6208A"/>
    <w:rsid w:val="03192F53"/>
    <w:rsid w:val="03A57BB6"/>
    <w:rsid w:val="03AD4F46"/>
    <w:rsid w:val="03F903E8"/>
    <w:rsid w:val="040A6059"/>
    <w:rsid w:val="044C5C91"/>
    <w:rsid w:val="04F251B7"/>
    <w:rsid w:val="06AF5C89"/>
    <w:rsid w:val="06D27B45"/>
    <w:rsid w:val="07136F21"/>
    <w:rsid w:val="07752E49"/>
    <w:rsid w:val="078F5063"/>
    <w:rsid w:val="080E64F0"/>
    <w:rsid w:val="09395457"/>
    <w:rsid w:val="09451E80"/>
    <w:rsid w:val="099215DD"/>
    <w:rsid w:val="09CA0B21"/>
    <w:rsid w:val="09DC19A3"/>
    <w:rsid w:val="09E069E0"/>
    <w:rsid w:val="0A763E7D"/>
    <w:rsid w:val="0B5517FF"/>
    <w:rsid w:val="0B947424"/>
    <w:rsid w:val="0B972846"/>
    <w:rsid w:val="0B9C0B56"/>
    <w:rsid w:val="0BA64504"/>
    <w:rsid w:val="0BBB6D74"/>
    <w:rsid w:val="0C0C6FFE"/>
    <w:rsid w:val="0C1E24BA"/>
    <w:rsid w:val="0C5276F6"/>
    <w:rsid w:val="0C85710C"/>
    <w:rsid w:val="0CB32891"/>
    <w:rsid w:val="0CD43832"/>
    <w:rsid w:val="0CE20A75"/>
    <w:rsid w:val="0D0237E6"/>
    <w:rsid w:val="0D4E2433"/>
    <w:rsid w:val="0E245DB5"/>
    <w:rsid w:val="0F2B21D1"/>
    <w:rsid w:val="10033E05"/>
    <w:rsid w:val="103310FF"/>
    <w:rsid w:val="10B615B1"/>
    <w:rsid w:val="1173458B"/>
    <w:rsid w:val="12A56387"/>
    <w:rsid w:val="12AD58FA"/>
    <w:rsid w:val="12D431CA"/>
    <w:rsid w:val="134E4D7B"/>
    <w:rsid w:val="13C97AB2"/>
    <w:rsid w:val="14692D4B"/>
    <w:rsid w:val="15183C46"/>
    <w:rsid w:val="15261520"/>
    <w:rsid w:val="1589624B"/>
    <w:rsid w:val="16F15C1A"/>
    <w:rsid w:val="17125A2B"/>
    <w:rsid w:val="1747408E"/>
    <w:rsid w:val="17987ED6"/>
    <w:rsid w:val="17AD036A"/>
    <w:rsid w:val="17C07B85"/>
    <w:rsid w:val="1A3E0B5E"/>
    <w:rsid w:val="1A3F6FDA"/>
    <w:rsid w:val="1A422262"/>
    <w:rsid w:val="1A4C1469"/>
    <w:rsid w:val="1A644ACB"/>
    <w:rsid w:val="1B1D00BB"/>
    <w:rsid w:val="1B3E3158"/>
    <w:rsid w:val="1BBD054F"/>
    <w:rsid w:val="1BE44CD8"/>
    <w:rsid w:val="1CCD30E5"/>
    <w:rsid w:val="1D8115EF"/>
    <w:rsid w:val="1D850D43"/>
    <w:rsid w:val="1DD67227"/>
    <w:rsid w:val="1E6E3189"/>
    <w:rsid w:val="1EBC1E87"/>
    <w:rsid w:val="1EBE4CE7"/>
    <w:rsid w:val="1ED42593"/>
    <w:rsid w:val="1ED456D5"/>
    <w:rsid w:val="1EFB4DF0"/>
    <w:rsid w:val="1F107A0B"/>
    <w:rsid w:val="1F490FDE"/>
    <w:rsid w:val="1F4D7A5F"/>
    <w:rsid w:val="1F7B1B2B"/>
    <w:rsid w:val="1F7F525B"/>
    <w:rsid w:val="1FC47655"/>
    <w:rsid w:val="205B3537"/>
    <w:rsid w:val="20767D24"/>
    <w:rsid w:val="211F27A2"/>
    <w:rsid w:val="21E31DAC"/>
    <w:rsid w:val="220F2576"/>
    <w:rsid w:val="22341638"/>
    <w:rsid w:val="23C633D6"/>
    <w:rsid w:val="24871F79"/>
    <w:rsid w:val="24F102EF"/>
    <w:rsid w:val="253F3C7F"/>
    <w:rsid w:val="256F1F2A"/>
    <w:rsid w:val="25EA1EE5"/>
    <w:rsid w:val="264F1406"/>
    <w:rsid w:val="26D133AD"/>
    <w:rsid w:val="27602533"/>
    <w:rsid w:val="276F6AA3"/>
    <w:rsid w:val="27A02CD7"/>
    <w:rsid w:val="283B51DE"/>
    <w:rsid w:val="286E2172"/>
    <w:rsid w:val="29196318"/>
    <w:rsid w:val="295343F4"/>
    <w:rsid w:val="298F59D8"/>
    <w:rsid w:val="29BA06E9"/>
    <w:rsid w:val="29D82F19"/>
    <w:rsid w:val="2A3355E6"/>
    <w:rsid w:val="2A9E025F"/>
    <w:rsid w:val="2AA60373"/>
    <w:rsid w:val="2AAF3CF3"/>
    <w:rsid w:val="2B7F49F2"/>
    <w:rsid w:val="2B921CB8"/>
    <w:rsid w:val="2CBC41A6"/>
    <w:rsid w:val="2CC26F77"/>
    <w:rsid w:val="2CEC7851"/>
    <w:rsid w:val="2CFC4874"/>
    <w:rsid w:val="2D5A2D35"/>
    <w:rsid w:val="2DD07165"/>
    <w:rsid w:val="2EFC40D4"/>
    <w:rsid w:val="2F1561E6"/>
    <w:rsid w:val="2F6824A4"/>
    <w:rsid w:val="2FD004EE"/>
    <w:rsid w:val="2FFB1718"/>
    <w:rsid w:val="30213B91"/>
    <w:rsid w:val="308E5759"/>
    <w:rsid w:val="312943A1"/>
    <w:rsid w:val="31B7353F"/>
    <w:rsid w:val="31ED20B3"/>
    <w:rsid w:val="32AA709A"/>
    <w:rsid w:val="33C92C70"/>
    <w:rsid w:val="33CB05F6"/>
    <w:rsid w:val="347539F9"/>
    <w:rsid w:val="351155A5"/>
    <w:rsid w:val="353C34F0"/>
    <w:rsid w:val="35D81069"/>
    <w:rsid w:val="35EE6569"/>
    <w:rsid w:val="36B1178F"/>
    <w:rsid w:val="36FC067D"/>
    <w:rsid w:val="38E649E2"/>
    <w:rsid w:val="39881FEC"/>
    <w:rsid w:val="39C20B54"/>
    <w:rsid w:val="3A355F7C"/>
    <w:rsid w:val="3A6E421F"/>
    <w:rsid w:val="3A737EEC"/>
    <w:rsid w:val="3B3B6E0D"/>
    <w:rsid w:val="3B4F1036"/>
    <w:rsid w:val="3B981C9E"/>
    <w:rsid w:val="3BB21864"/>
    <w:rsid w:val="3BDF1A38"/>
    <w:rsid w:val="3BE4530F"/>
    <w:rsid w:val="3C6F3E3B"/>
    <w:rsid w:val="3C9D6A8C"/>
    <w:rsid w:val="3CFD528C"/>
    <w:rsid w:val="3EB013AB"/>
    <w:rsid w:val="3F5D58F1"/>
    <w:rsid w:val="3FAF7EBF"/>
    <w:rsid w:val="3FCC6897"/>
    <w:rsid w:val="405C5A84"/>
    <w:rsid w:val="405F0D8A"/>
    <w:rsid w:val="40D13944"/>
    <w:rsid w:val="4221748A"/>
    <w:rsid w:val="423D466F"/>
    <w:rsid w:val="428B4359"/>
    <w:rsid w:val="42B03CCC"/>
    <w:rsid w:val="42B768CD"/>
    <w:rsid w:val="42CC3F33"/>
    <w:rsid w:val="43207D0A"/>
    <w:rsid w:val="43631EE8"/>
    <w:rsid w:val="43B35BE1"/>
    <w:rsid w:val="43CB3901"/>
    <w:rsid w:val="43CE593D"/>
    <w:rsid w:val="443E1BD5"/>
    <w:rsid w:val="44F53EC9"/>
    <w:rsid w:val="451A11C3"/>
    <w:rsid w:val="453B3109"/>
    <w:rsid w:val="456C7660"/>
    <w:rsid w:val="45B349FB"/>
    <w:rsid w:val="45CC4C92"/>
    <w:rsid w:val="46BD5C01"/>
    <w:rsid w:val="46D6040C"/>
    <w:rsid w:val="47066E73"/>
    <w:rsid w:val="4722726A"/>
    <w:rsid w:val="473000FD"/>
    <w:rsid w:val="47697F3B"/>
    <w:rsid w:val="47B45F3C"/>
    <w:rsid w:val="48053C34"/>
    <w:rsid w:val="48123E79"/>
    <w:rsid w:val="497C22B2"/>
    <w:rsid w:val="49D076B0"/>
    <w:rsid w:val="4A1417AA"/>
    <w:rsid w:val="4A5D7320"/>
    <w:rsid w:val="4B5D2B2A"/>
    <w:rsid w:val="4CD36D03"/>
    <w:rsid w:val="4CD73D60"/>
    <w:rsid w:val="4D342AC5"/>
    <w:rsid w:val="4D694DA4"/>
    <w:rsid w:val="4D6B42BE"/>
    <w:rsid w:val="4DCA136A"/>
    <w:rsid w:val="4DFE6388"/>
    <w:rsid w:val="4E4022B9"/>
    <w:rsid w:val="4ECF6BCC"/>
    <w:rsid w:val="508B38AC"/>
    <w:rsid w:val="50B259D2"/>
    <w:rsid w:val="50F53BA8"/>
    <w:rsid w:val="51F11F6A"/>
    <w:rsid w:val="5229107C"/>
    <w:rsid w:val="527349B4"/>
    <w:rsid w:val="52E10274"/>
    <w:rsid w:val="53572425"/>
    <w:rsid w:val="53CA7249"/>
    <w:rsid w:val="54196C94"/>
    <w:rsid w:val="549A08F7"/>
    <w:rsid w:val="55470037"/>
    <w:rsid w:val="55A236BA"/>
    <w:rsid w:val="55CD0E83"/>
    <w:rsid w:val="567B53FF"/>
    <w:rsid w:val="57A73D22"/>
    <w:rsid w:val="57AF164F"/>
    <w:rsid w:val="585D638C"/>
    <w:rsid w:val="58987D0A"/>
    <w:rsid w:val="592839E3"/>
    <w:rsid w:val="593517E3"/>
    <w:rsid w:val="59455451"/>
    <w:rsid w:val="598F6A85"/>
    <w:rsid w:val="5A08415E"/>
    <w:rsid w:val="5A812739"/>
    <w:rsid w:val="5AB77DD7"/>
    <w:rsid w:val="5BAE76FF"/>
    <w:rsid w:val="5BBE76F4"/>
    <w:rsid w:val="5BE91279"/>
    <w:rsid w:val="5CA01AB6"/>
    <w:rsid w:val="5EBD399D"/>
    <w:rsid w:val="5F4212D9"/>
    <w:rsid w:val="5FB04F89"/>
    <w:rsid w:val="600E1E6F"/>
    <w:rsid w:val="60636A31"/>
    <w:rsid w:val="61922484"/>
    <w:rsid w:val="61A67C9A"/>
    <w:rsid w:val="61CA201F"/>
    <w:rsid w:val="621C1ADB"/>
    <w:rsid w:val="621C3A13"/>
    <w:rsid w:val="625C2BFE"/>
    <w:rsid w:val="625C3E83"/>
    <w:rsid w:val="631312C7"/>
    <w:rsid w:val="63620E0E"/>
    <w:rsid w:val="63B86D94"/>
    <w:rsid w:val="63DC30DC"/>
    <w:rsid w:val="643B7D84"/>
    <w:rsid w:val="65822F4C"/>
    <w:rsid w:val="65AF5444"/>
    <w:rsid w:val="65E71F28"/>
    <w:rsid w:val="6629349B"/>
    <w:rsid w:val="666F3498"/>
    <w:rsid w:val="66A23BB0"/>
    <w:rsid w:val="66AD7815"/>
    <w:rsid w:val="67AF42C4"/>
    <w:rsid w:val="67D853AC"/>
    <w:rsid w:val="68A70936"/>
    <w:rsid w:val="69264FE4"/>
    <w:rsid w:val="69445670"/>
    <w:rsid w:val="69520885"/>
    <w:rsid w:val="69E132A1"/>
    <w:rsid w:val="6CD66CA4"/>
    <w:rsid w:val="6D1D7B0C"/>
    <w:rsid w:val="6D5710EB"/>
    <w:rsid w:val="6D9D7DC0"/>
    <w:rsid w:val="6DB01FA2"/>
    <w:rsid w:val="6EEF41B0"/>
    <w:rsid w:val="6F772A31"/>
    <w:rsid w:val="6F904D6D"/>
    <w:rsid w:val="70274708"/>
    <w:rsid w:val="704D723E"/>
    <w:rsid w:val="70CC7133"/>
    <w:rsid w:val="714A2C60"/>
    <w:rsid w:val="71723ECA"/>
    <w:rsid w:val="71CC141B"/>
    <w:rsid w:val="72F93BFA"/>
    <w:rsid w:val="730F7E05"/>
    <w:rsid w:val="73536E8D"/>
    <w:rsid w:val="73935E33"/>
    <w:rsid w:val="748A4294"/>
    <w:rsid w:val="74B717BB"/>
    <w:rsid w:val="74B74C17"/>
    <w:rsid w:val="754679FD"/>
    <w:rsid w:val="7547692F"/>
    <w:rsid w:val="76BB6642"/>
    <w:rsid w:val="76BE35C4"/>
    <w:rsid w:val="76CB6BAA"/>
    <w:rsid w:val="76E70A9E"/>
    <w:rsid w:val="773D0CC8"/>
    <w:rsid w:val="77E45344"/>
    <w:rsid w:val="77F95CBE"/>
    <w:rsid w:val="7812538D"/>
    <w:rsid w:val="795E29C8"/>
    <w:rsid w:val="79DA24A9"/>
    <w:rsid w:val="7A255AF3"/>
    <w:rsid w:val="7A5A6AA7"/>
    <w:rsid w:val="7A7E636C"/>
    <w:rsid w:val="7BF939F1"/>
    <w:rsid w:val="7C157AF8"/>
    <w:rsid w:val="7C5652B8"/>
    <w:rsid w:val="7C8E2DE4"/>
    <w:rsid w:val="7D9032CF"/>
    <w:rsid w:val="7E3B7842"/>
    <w:rsid w:val="7E4E3F93"/>
    <w:rsid w:val="7E510DCF"/>
    <w:rsid w:val="7EB413CA"/>
    <w:rsid w:val="7FAC5749"/>
    <w:rsid w:val="7FB950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w:basedOn w:val="1"/>
    <w:link w:val="12"/>
    <w:qFormat/>
    <w:uiPriority w:val="0"/>
    <w:pPr>
      <w:spacing w:line="540" w:lineRule="exact"/>
      <w:ind w:firstLine="643" w:firstLineChars="200"/>
    </w:pPr>
    <w:rPr>
      <w:rFonts w:ascii="Times New Roman" w:hAnsi="Times New Roman" w:eastAsia="仿宋_GB2312" w:cs="Times New Roman"/>
      <w:b/>
      <w:bCs/>
      <w:sz w:val="32"/>
      <w:szCs w:val="24"/>
    </w:rPr>
  </w:style>
  <w:style w:type="paragraph" w:styleId="3">
    <w:name w:val="Body Text Indent 2"/>
    <w:basedOn w:val="1"/>
    <w:autoRedefine/>
    <w:semiHidden/>
    <w:unhideWhenUsed/>
    <w:qFormat/>
    <w:uiPriority w:val="99"/>
    <w:pPr>
      <w:spacing w:line="580" w:lineRule="exact"/>
      <w:ind w:firstLine="640" w:firstLineChars="200"/>
    </w:pPr>
    <w:rPr>
      <w:rFonts w:ascii="仿宋_GB2312" w:eastAsia="仿宋_GB2312"/>
      <w:sz w:val="32"/>
    </w:rPr>
  </w:style>
  <w:style w:type="paragraph" w:styleId="4">
    <w:name w:val="Balloon Text"/>
    <w:basedOn w:val="1"/>
    <w:link w:val="13"/>
    <w:autoRedefine/>
    <w:unhideWhenUsed/>
    <w:qFormat/>
    <w:uiPriority w:val="99"/>
    <w:rPr>
      <w:sz w:val="18"/>
      <w:szCs w:val="18"/>
    </w:rPr>
  </w:style>
  <w:style w:type="paragraph" w:styleId="5">
    <w:name w:val="footer"/>
    <w:basedOn w:val="1"/>
    <w:link w:val="10"/>
    <w:autoRedefine/>
    <w:unhideWhenUsed/>
    <w:qFormat/>
    <w:uiPriority w:val="99"/>
    <w:pPr>
      <w:tabs>
        <w:tab w:val="center" w:pos="4153"/>
        <w:tab w:val="right" w:pos="8306"/>
      </w:tabs>
      <w:snapToGrid w:val="0"/>
      <w:jc w:val="left"/>
    </w:pPr>
    <w:rPr>
      <w:sz w:val="18"/>
      <w:szCs w:val="18"/>
    </w:rPr>
  </w:style>
  <w:style w:type="paragraph" w:styleId="6">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autoRedefine/>
    <w:qFormat/>
    <w:uiPriority w:val="99"/>
    <w:rPr>
      <w:sz w:val="18"/>
      <w:szCs w:val="18"/>
    </w:rPr>
  </w:style>
  <w:style w:type="character" w:customStyle="1" w:styleId="10">
    <w:name w:val="页脚 Char"/>
    <w:basedOn w:val="8"/>
    <w:link w:val="5"/>
    <w:autoRedefine/>
    <w:qFormat/>
    <w:uiPriority w:val="99"/>
    <w:rPr>
      <w:sz w:val="18"/>
      <w:szCs w:val="18"/>
    </w:rPr>
  </w:style>
  <w:style w:type="character" w:customStyle="1" w:styleId="11">
    <w:name w:val="font11"/>
    <w:basedOn w:val="8"/>
    <w:autoRedefine/>
    <w:qFormat/>
    <w:uiPriority w:val="0"/>
    <w:rPr>
      <w:rFonts w:hint="default" w:ascii="Times New Roman" w:hAnsi="Times New Roman" w:cs="Times New Roman"/>
      <w:color w:val="000000"/>
      <w:sz w:val="20"/>
      <w:szCs w:val="20"/>
      <w:u w:val="none"/>
    </w:rPr>
  </w:style>
  <w:style w:type="character" w:customStyle="1" w:styleId="12">
    <w:name w:val="正文文本缩进 Char"/>
    <w:basedOn w:val="8"/>
    <w:link w:val="2"/>
    <w:autoRedefine/>
    <w:qFormat/>
    <w:uiPriority w:val="0"/>
    <w:rPr>
      <w:rFonts w:ascii="Times New Roman" w:hAnsi="Times New Roman" w:eastAsia="仿宋_GB2312" w:cs="Times New Roman"/>
      <w:b/>
      <w:bCs/>
      <w:sz w:val="32"/>
      <w:szCs w:val="24"/>
    </w:rPr>
  </w:style>
  <w:style w:type="character" w:customStyle="1" w:styleId="13">
    <w:name w:val="批注框文本 Char"/>
    <w:basedOn w:val="8"/>
    <w:link w:val="4"/>
    <w:autoRedefine/>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11</Pages>
  <Words>5153</Words>
  <Characters>5650</Characters>
  <Lines>42</Lines>
  <Paragraphs>12</Paragraphs>
  <TotalTime>4</TotalTime>
  <ScaleCrop>false</ScaleCrop>
  <LinksUpToDate>false</LinksUpToDate>
  <CharactersWithSpaces>5678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2017-11-20T01:05:00Z</dcterms:created>
  <dc:creator>Sky123.Org</dc:creator>
  <cp:lastModifiedBy>WPS_1665536116</cp:lastModifiedBy>
  <cp:lastPrinted>2026-09-23T02:25:35Z</cp:lastPrinted>
  <dcterms:modified xsi:type="dcterms:W3CDTF">2026-09-23T02:26:33Z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C41C1A08E972450F9A134D24BCA5E2BF_13</vt:lpwstr>
  </property>
  <property fmtid="{D5CDD505-2E9C-101B-9397-08002B2CF9AE}" pid="4" name="KSOTemplateDocerSaveRecord">
    <vt:lpwstr>eyJoZGlkIjoiYWI2YzIwOTA2MDQyYmUyOGZkNDJhMzNiZDQ2ODljMTMiLCJ1c2VySWQiOiIxNDE4NjQyNzI2In0=</vt:lpwstr>
  </property>
</Properties>
</file>