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仿宋" w:eastAsia="方正小标宋_GBK"/>
          <w:sz w:val="44"/>
          <w:szCs w:val="44"/>
        </w:rPr>
      </w:pPr>
      <w:r>
        <w:rPr>
          <w:rFonts w:hint="eastAsia" w:ascii="微软雅黑" w:hAnsi="微软雅黑" w:eastAsia="微软雅黑" w:cs="微软雅黑"/>
          <w:b/>
          <w:bCs/>
          <w:sz w:val="36"/>
          <w:szCs w:val="36"/>
        </w:rPr>
        <w:t>大冶市2024年度市直行政事业单位</w:t>
      </w:r>
      <w:r>
        <w:rPr>
          <w:rFonts w:hint="eastAsia" w:ascii="微软雅黑" w:hAnsi="微软雅黑" w:eastAsia="微软雅黑" w:cs="微软雅黑"/>
          <w:b/>
          <w:bCs/>
          <w:sz w:val="36"/>
          <w:szCs w:val="36"/>
          <w:lang w:eastAsia="zh-CN"/>
        </w:rPr>
        <w:t>物业管理</w:t>
      </w:r>
      <w:r>
        <w:rPr>
          <w:rFonts w:hint="eastAsia" w:ascii="微软雅黑" w:hAnsi="微软雅黑" w:eastAsia="微软雅黑" w:cs="微软雅黑"/>
          <w:b/>
          <w:bCs/>
          <w:sz w:val="36"/>
          <w:szCs w:val="36"/>
        </w:rPr>
        <w:t>服务封闭式框架协议采购</w:t>
      </w:r>
      <w:r>
        <w:rPr>
          <w:rFonts w:hint="eastAsia" w:ascii="微软雅黑" w:hAnsi="微软雅黑" w:eastAsia="微软雅黑" w:cs="微软雅黑"/>
          <w:b/>
          <w:bCs/>
          <w:sz w:val="36"/>
          <w:szCs w:val="36"/>
          <w:lang w:eastAsia="zh-CN"/>
        </w:rPr>
        <w:t>需求</w:t>
      </w:r>
    </w:p>
    <w:p>
      <w:pPr>
        <w:snapToGrid w:val="0"/>
        <w:spacing w:line="700" w:lineRule="exact"/>
        <w:jc w:val="center"/>
        <w:rPr>
          <w:rFonts w:ascii="华文楷体" w:hAnsi="华文楷体" w:eastAsia="华文楷体" w:cs="方正小标宋简体"/>
          <w:bCs/>
          <w:sz w:val="32"/>
          <w:szCs w:val="32"/>
        </w:rPr>
      </w:pPr>
      <w:r>
        <w:rPr>
          <w:rFonts w:hint="eastAsia" w:ascii="华文楷体" w:hAnsi="华文楷体" w:eastAsia="华文楷体" w:cs="方正小标宋简体"/>
          <w:bCs/>
          <w:sz w:val="32"/>
          <w:szCs w:val="32"/>
        </w:rPr>
        <w:t>（征求意见稿）</w:t>
      </w:r>
    </w:p>
    <w:p>
      <w:pPr>
        <w:rPr>
          <w:rFonts w:ascii="黑体" w:hAnsi="黑体" w:eastAsia="黑体"/>
          <w:sz w:val="32"/>
          <w:szCs w:val="32"/>
        </w:rPr>
      </w:pPr>
      <w:r>
        <w:rPr>
          <w:rFonts w:hint="eastAsia" w:ascii="黑体" w:hAnsi="黑体" w:eastAsia="黑体"/>
          <w:sz w:val="32"/>
          <w:szCs w:val="32"/>
        </w:rPr>
        <w:t>一、供应商的资格条件</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1.满足《中华人民共和国政府采购法》第二十二条规定，即：</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（2）具有良好的商业信誉和健全的财务会计制度；</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（3）具有履行合同所必需的设备和专业技术能力；</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（4）有依法缴纳税收和社会保障资金的良好记录；</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（5）参加政府采购活动前三年内，在经营活动中没有重大违法记录；</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（6）法律、行政法规规定的其他条件。</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2.应未被列入失信被执行人、重大税收违法案件当事人名单，未被列入政府采购严重违法失信行为记录名单。</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3.落实政府采购政策需满足的资格要求：</w:t>
      </w:r>
      <w:r>
        <w:rPr>
          <w:rFonts w:hint="eastAsia" w:ascii="宋体" w:hAnsi="宋体" w:eastAsia="宋体" w:cs="宋体"/>
          <w:b/>
          <w:bCs/>
          <w:sz w:val="28"/>
          <w:szCs w:val="28"/>
          <w:lang w:eastAsia="zh-CN"/>
        </w:rPr>
        <w:t>专门面向中小微企业</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4.本项目的特定资格要求：</w:t>
      </w:r>
      <w:r>
        <w:rPr>
          <w:rFonts w:hint="eastAsia" w:ascii="宋体" w:hAnsi="宋体" w:eastAsia="宋体" w:cs="宋体"/>
          <w:sz w:val="28"/>
          <w:szCs w:val="28"/>
          <w:lang w:val="en-US" w:eastAsia="zh-CN"/>
        </w:rPr>
        <w:t>无</w:t>
      </w:r>
    </w:p>
    <w:p>
      <w:pPr>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项目</w:t>
      </w:r>
      <w:r>
        <w:rPr>
          <w:rFonts w:hint="eastAsia" w:ascii="黑体" w:hAnsi="黑体" w:eastAsia="黑体"/>
          <w:sz w:val="32"/>
          <w:szCs w:val="32"/>
        </w:rPr>
        <w:t>技术、</w:t>
      </w:r>
      <w:r>
        <w:rPr>
          <w:rFonts w:hint="eastAsia" w:ascii="黑体" w:hAnsi="黑体" w:eastAsia="黑体"/>
          <w:sz w:val="32"/>
          <w:szCs w:val="32"/>
          <w:lang w:eastAsia="zh-CN"/>
        </w:rPr>
        <w:t>服务</w:t>
      </w:r>
      <w:r>
        <w:rPr>
          <w:rFonts w:hint="eastAsia" w:ascii="黑体" w:hAnsi="黑体" w:eastAsia="黑体"/>
          <w:sz w:val="32"/>
          <w:szCs w:val="32"/>
        </w:rPr>
        <w:t>要求</w:t>
      </w:r>
    </w:p>
    <w:p>
      <w:pPr>
        <w:numPr>
          <w:ilvl w:val="0"/>
          <w:numId w:val="1"/>
        </w:numPr>
        <w:ind w:left="0" w:leftChars="0" w:firstLine="420" w:firstLineChars="0"/>
        <w:rPr>
          <w:rFonts w:hint="eastAsia" w:ascii="楷体" w:hAnsi="楷体" w:eastAsia="楷体"/>
          <w:sz w:val="28"/>
          <w:szCs w:val="28"/>
        </w:rPr>
      </w:pPr>
      <w:r>
        <w:rPr>
          <w:rFonts w:hint="eastAsia" w:ascii="楷体" w:hAnsi="楷体" w:eastAsia="楷体"/>
          <w:sz w:val="28"/>
          <w:szCs w:val="28"/>
        </w:rPr>
        <w:t>服务内容</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b w:val="0"/>
          <w:bCs w:val="0"/>
          <w:color w:val="auto"/>
          <w:lang w:eastAsia="zh-CN"/>
        </w:rPr>
      </w:pPr>
      <w:r>
        <w:rPr>
          <w:rFonts w:hint="eastAsia" w:ascii="宋体" w:hAnsi="宋体" w:eastAsia="宋体" w:cs="宋体"/>
          <w:b w:val="0"/>
          <w:bCs w:val="0"/>
          <w:color w:val="0C0C0C"/>
          <w:kern w:val="2"/>
          <w:sz w:val="28"/>
          <w:szCs w:val="28"/>
          <w:lang w:val="en-US" w:eastAsia="zh-CN" w:bidi="ar-SA"/>
        </w:rPr>
        <w:t>C21040000</w:t>
      </w:r>
      <w:r>
        <w:rPr>
          <w:rFonts w:hint="eastAsia" w:ascii="Times New Roman" w:hAnsi="Times New Roman" w:eastAsia="宋体" w:cs="黑体"/>
          <w:b w:val="0"/>
          <w:bCs w:val="0"/>
          <w:color w:val="auto"/>
          <w:sz w:val="28"/>
          <w:szCs w:val="28"/>
          <w:lang w:val="en-US" w:eastAsia="zh-CN"/>
        </w:rPr>
        <w:t>物业管理服务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sz w:val="28"/>
          <w:szCs w:val="28"/>
        </w:rPr>
      </w:pPr>
      <w:bookmarkStart w:id="0" w:name="第1包：经济责任审计"/>
      <w:bookmarkEnd w:id="0"/>
      <w:r>
        <w:rPr>
          <w:rFonts w:hint="eastAsia" w:ascii="宋体" w:hAnsi="宋体"/>
          <w:sz w:val="28"/>
          <w:szCs w:val="28"/>
        </w:rPr>
        <w:t>行业划型：按照《关于印发中小企业划型标准规定的通知》（工信部联企业〔2011〕300号）的标准，本包标的属于“物业管理”。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办公场所或其他公用场所水电供应服务、设备运行、门窗保养维护、保洁、绿化养护等的管理及服务，包括：</w:t>
      </w:r>
    </w:p>
    <w:p>
      <w:pPr>
        <w:ind w:left="0" w:leftChars="0" w:firstLine="218" w:firstLineChars="78"/>
        <w:rPr>
          <w:rFonts w:hint="eastAsia" w:ascii="宋体" w:hAnsi="宋体" w:eastAsia="宋体" w:cs="宋体"/>
          <w:sz w:val="28"/>
          <w:szCs w:val="28"/>
        </w:rPr>
      </w:pPr>
      <w:r>
        <w:rPr>
          <w:rFonts w:hint="eastAsia" w:ascii="宋体" w:hAnsi="宋体" w:eastAsia="宋体" w:cs="宋体"/>
          <w:sz w:val="28"/>
          <w:szCs w:val="28"/>
        </w:rPr>
        <w:t>1.住宅物业管理服务：住宅小区、住宅楼、公寓等物业的管理服务；</w:t>
      </w:r>
    </w:p>
    <w:p>
      <w:pPr>
        <w:ind w:left="0" w:leftChars="0" w:firstLine="218" w:firstLineChars="78"/>
        <w:rPr>
          <w:rFonts w:hint="eastAsia" w:ascii="宋体" w:hAnsi="宋体" w:eastAsia="宋体" w:cs="宋体"/>
          <w:sz w:val="28"/>
          <w:szCs w:val="28"/>
        </w:rPr>
      </w:pPr>
      <w:r>
        <w:rPr>
          <w:rFonts w:hint="eastAsia" w:ascii="宋体" w:hAnsi="宋体" w:eastAsia="宋体" w:cs="宋体"/>
          <w:sz w:val="28"/>
          <w:szCs w:val="28"/>
        </w:rPr>
        <w:t>2.办公楼物业管理服务：写字楼、单位办公楼等物业管理服务；</w:t>
      </w:r>
    </w:p>
    <w:p>
      <w:pPr>
        <w:ind w:left="0" w:leftChars="0" w:firstLine="218" w:firstLineChars="78"/>
        <w:rPr>
          <w:rFonts w:hint="eastAsia" w:ascii="宋体" w:hAnsi="宋体" w:eastAsia="宋体" w:cs="宋体"/>
          <w:sz w:val="28"/>
          <w:szCs w:val="28"/>
        </w:rPr>
      </w:pPr>
      <w:r>
        <w:rPr>
          <w:rFonts w:hint="eastAsia" w:ascii="宋体" w:hAnsi="宋体" w:eastAsia="宋体" w:cs="宋体"/>
          <w:sz w:val="28"/>
          <w:szCs w:val="28"/>
        </w:rPr>
        <w:t>3.车站、机场、港口码头、医院、学校等物业管理服务；</w:t>
      </w:r>
    </w:p>
    <w:p>
      <w:pPr>
        <w:ind w:left="0" w:leftChars="0" w:firstLine="218" w:firstLineChars="78"/>
        <w:rPr>
          <w:rFonts w:hint="eastAsia" w:ascii="宋体" w:hAnsi="宋体" w:eastAsia="宋体" w:cs="宋体"/>
          <w:sz w:val="28"/>
          <w:szCs w:val="28"/>
        </w:rPr>
      </w:pPr>
      <w:r>
        <w:rPr>
          <w:rFonts w:hint="eastAsia" w:ascii="宋体" w:hAnsi="宋体" w:eastAsia="宋体" w:cs="宋体"/>
          <w:sz w:val="28"/>
          <w:szCs w:val="28"/>
        </w:rPr>
        <w:t>4.其他物业管理服务。</w:t>
      </w:r>
    </w:p>
    <w:p>
      <w:pPr>
        <w:numPr>
          <w:ilvl w:val="0"/>
          <w:numId w:val="1"/>
        </w:numPr>
        <w:ind w:left="0" w:leftChars="0" w:firstLine="420" w:firstLineChars="0"/>
        <w:rPr>
          <w:rFonts w:hint="eastAsia" w:ascii="楷体" w:hAnsi="楷体" w:eastAsia="楷体"/>
          <w:sz w:val="28"/>
          <w:szCs w:val="28"/>
        </w:rPr>
      </w:pPr>
      <w:r>
        <w:rPr>
          <w:rFonts w:hint="eastAsia" w:ascii="楷体" w:hAnsi="楷体" w:eastAsia="楷体"/>
          <w:sz w:val="28"/>
          <w:szCs w:val="28"/>
        </w:rPr>
        <w:t>服务标准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依据相关要求，物业管理服务项目必须达到以下现行中华人民共和国及省、市、行业的一切有关法规、规范的要求，如下述标准及规范要求有出入则以较严格者为准。</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7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vAlign w:val="center"/>
          </w:tcPr>
          <w:p>
            <w:pPr>
              <w:spacing w:line="360" w:lineRule="auto"/>
              <w:ind w:left="-111" w:leftChars="-53" w:right="-107" w:rightChars="-51"/>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rPr>
              <w:t>序号</w:t>
            </w:r>
          </w:p>
        </w:tc>
        <w:tc>
          <w:tcPr>
            <w:tcW w:w="4593" w:type="pct"/>
            <w:vAlign w:val="center"/>
          </w:tcPr>
          <w:p>
            <w:pPr>
              <w:tabs>
                <w:tab w:val="center" w:pos="3001"/>
                <w:tab w:val="left" w:pos="3899"/>
              </w:tabs>
              <w:spacing w:line="360" w:lineRule="auto"/>
              <w:ind w:left="-69" w:leftChars="-33" w:right="-63" w:rightChars="-30"/>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tcPr>
          <w:p>
            <w:pPr>
              <w:numPr>
                <w:ilvl w:val="0"/>
                <w:numId w:val="2"/>
              </w:numPr>
              <w:ind w:left="425" w:leftChars="0" w:hanging="425" w:firstLineChars="0"/>
              <w:jc w:val="center"/>
              <w:rPr>
                <w:rFonts w:hint="eastAsia" w:ascii="宋体" w:hAnsi="宋体" w:eastAsia="宋体" w:cs="宋体"/>
                <w:sz w:val="24"/>
                <w:szCs w:val="24"/>
                <w:vertAlign w:val="baseline"/>
              </w:rPr>
            </w:pPr>
          </w:p>
        </w:tc>
        <w:tc>
          <w:tcPr>
            <w:tcW w:w="4593" w:type="pct"/>
            <w:vAlign w:val="center"/>
          </w:tcPr>
          <w:p>
            <w:pPr>
              <w:jc w:val="both"/>
              <w:rPr>
                <w:rFonts w:hint="eastAsia" w:ascii="宋体" w:hAnsi="宋体" w:eastAsia="宋体" w:cs="宋体"/>
                <w:kern w:val="2"/>
                <w:sz w:val="24"/>
                <w:szCs w:val="24"/>
                <w:vertAlign w:val="baseline"/>
                <w:lang w:val="en-US" w:eastAsia="zh-CN" w:bidi="ar-SA"/>
              </w:rPr>
            </w:pPr>
            <w:r>
              <w:rPr>
                <w:rFonts w:hint="eastAsia" w:ascii="宋体" w:hAnsi="宋体" w:eastAsia="宋体" w:cs="宋体"/>
                <w:sz w:val="24"/>
                <w:szCs w:val="24"/>
              </w:rPr>
              <w:t>《物业管理条例》</w:t>
            </w:r>
            <w:r>
              <w:rPr>
                <w:rFonts w:hint="eastAsia" w:ascii="宋体" w:hAnsi="宋体" w:eastAsia="宋体" w:cs="宋体"/>
                <w:sz w:val="24"/>
                <w:szCs w:val="24"/>
                <w:vertAlign w:val="baseline"/>
              </w:rPr>
              <w:t>中华人民共和国国务院令（第379号）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tcPr>
          <w:p>
            <w:pPr>
              <w:numPr>
                <w:ilvl w:val="0"/>
                <w:numId w:val="2"/>
              </w:numPr>
              <w:ind w:left="425" w:leftChars="0" w:hanging="425" w:firstLineChars="0"/>
              <w:jc w:val="center"/>
              <w:rPr>
                <w:rFonts w:hint="eastAsia" w:ascii="宋体" w:hAnsi="宋体" w:eastAsia="宋体" w:cs="宋体"/>
                <w:sz w:val="24"/>
                <w:szCs w:val="24"/>
                <w:vertAlign w:val="baseline"/>
              </w:rPr>
            </w:pPr>
          </w:p>
        </w:tc>
        <w:tc>
          <w:tcPr>
            <w:tcW w:w="4593" w:type="pct"/>
            <w:vAlign w:val="center"/>
          </w:tcPr>
          <w:p>
            <w:pPr>
              <w:jc w:val="both"/>
              <w:rPr>
                <w:rFonts w:hint="eastAsia" w:ascii="宋体" w:hAnsi="宋体" w:eastAsia="宋体" w:cs="宋体"/>
                <w:sz w:val="24"/>
                <w:szCs w:val="24"/>
                <w:highlight w:val="yellow"/>
                <w:vertAlign w:val="baseline"/>
              </w:rPr>
            </w:pPr>
            <w:r>
              <w:rPr>
                <w:rFonts w:hint="eastAsia" w:ascii="宋体" w:hAnsi="宋体" w:eastAsia="宋体" w:cs="宋体"/>
                <w:sz w:val="24"/>
                <w:szCs w:val="24"/>
                <w:highlight w:val="none"/>
                <w:lang w:val="en-US" w:eastAsia="zh-CN"/>
              </w:rPr>
              <w:t>《湖北省物业服务与管理条例》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tcPr>
          <w:p>
            <w:pPr>
              <w:numPr>
                <w:ilvl w:val="0"/>
                <w:numId w:val="2"/>
              </w:numPr>
              <w:ind w:left="425" w:leftChars="0" w:hanging="425" w:firstLineChars="0"/>
              <w:jc w:val="center"/>
              <w:rPr>
                <w:rFonts w:hint="eastAsia" w:ascii="宋体" w:hAnsi="宋体" w:eastAsia="宋体" w:cs="宋体"/>
                <w:sz w:val="24"/>
                <w:szCs w:val="24"/>
                <w:vertAlign w:val="baseline"/>
              </w:rPr>
            </w:pPr>
          </w:p>
        </w:tc>
        <w:tc>
          <w:tcPr>
            <w:tcW w:w="4593" w:type="pct"/>
            <w:vAlign w:val="center"/>
          </w:tcPr>
          <w:p>
            <w:pPr>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《黄石市物业管理条例》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tcPr>
          <w:p>
            <w:pPr>
              <w:numPr>
                <w:ilvl w:val="0"/>
                <w:numId w:val="2"/>
              </w:numPr>
              <w:ind w:left="425" w:leftChars="0" w:hanging="425" w:firstLineChars="0"/>
              <w:jc w:val="center"/>
              <w:rPr>
                <w:rFonts w:hint="eastAsia" w:ascii="宋体" w:hAnsi="宋体" w:eastAsia="宋体" w:cs="宋体"/>
                <w:sz w:val="24"/>
                <w:szCs w:val="24"/>
                <w:vertAlign w:val="baseline"/>
              </w:rPr>
            </w:pPr>
          </w:p>
        </w:tc>
        <w:tc>
          <w:tcPr>
            <w:tcW w:w="4593" w:type="pct"/>
            <w:vAlign w:val="center"/>
          </w:tcPr>
          <w:p>
            <w:pPr>
              <w:jc w:val="both"/>
              <w:rPr>
                <w:rFonts w:hint="eastAsia" w:ascii="宋体" w:hAnsi="宋体" w:eastAsia="宋体" w:cs="宋体"/>
                <w:sz w:val="24"/>
                <w:szCs w:val="24"/>
              </w:rPr>
            </w:pPr>
            <w:r>
              <w:rPr>
                <w:rFonts w:hint="eastAsia" w:ascii="宋体" w:hAnsi="宋体" w:eastAsia="宋体" w:cs="宋体"/>
                <w:sz w:val="24"/>
                <w:szCs w:val="24"/>
              </w:rPr>
              <w:t>《大冶市物业服务收费管理办法》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tcPr>
          <w:p>
            <w:pPr>
              <w:numPr>
                <w:ilvl w:val="0"/>
                <w:numId w:val="2"/>
              </w:numPr>
              <w:ind w:left="425" w:leftChars="0" w:hanging="425" w:firstLineChars="0"/>
              <w:jc w:val="center"/>
              <w:rPr>
                <w:rFonts w:hint="eastAsia" w:ascii="宋体" w:hAnsi="宋体" w:eastAsia="宋体" w:cs="宋体"/>
                <w:sz w:val="24"/>
                <w:szCs w:val="24"/>
                <w:vertAlign w:val="baseline"/>
              </w:rPr>
            </w:pPr>
          </w:p>
        </w:tc>
        <w:tc>
          <w:tcPr>
            <w:tcW w:w="4593" w:type="pct"/>
            <w:vAlign w:val="center"/>
          </w:tcPr>
          <w:p>
            <w:pPr>
              <w:jc w:val="both"/>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《保安服务管理条例》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tcPr>
          <w:p>
            <w:pPr>
              <w:numPr>
                <w:ilvl w:val="0"/>
                <w:numId w:val="2"/>
              </w:numPr>
              <w:ind w:left="425" w:leftChars="0" w:hanging="425" w:firstLineChars="0"/>
              <w:jc w:val="center"/>
              <w:rPr>
                <w:rFonts w:hint="eastAsia" w:ascii="宋体" w:hAnsi="宋体" w:eastAsia="宋体" w:cs="宋体"/>
                <w:sz w:val="24"/>
                <w:szCs w:val="24"/>
                <w:vertAlign w:val="baseline"/>
                <w:lang w:val="en-US" w:eastAsia="zh-CN"/>
              </w:rPr>
            </w:pPr>
          </w:p>
        </w:tc>
        <w:tc>
          <w:tcPr>
            <w:tcW w:w="4593" w:type="pct"/>
            <w:vAlign w:val="center"/>
          </w:tcPr>
          <w:p>
            <w:pPr>
              <w:jc w:val="both"/>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《公安机关实施保安服务管理条例办法》（中华人民共和国公安部令第 112 号）</w:t>
            </w:r>
            <w:bookmarkStart w:id="7" w:name="_GoBack"/>
            <w:bookmarkEnd w:id="7"/>
          </w:p>
        </w:tc>
      </w:tr>
    </w:tbl>
    <w:p>
      <w:pPr>
        <w:ind w:firstLine="560" w:firstLineChars="200"/>
        <w:rPr>
          <w:rFonts w:hint="eastAsia" w:ascii="宋体" w:hAnsi="宋体" w:eastAsia="宋体" w:cs="宋体"/>
          <w:sz w:val="28"/>
          <w:szCs w:val="28"/>
        </w:rPr>
      </w:pPr>
      <w:r>
        <w:rPr>
          <w:rFonts w:hint="eastAsia" w:ascii="宋体" w:hAnsi="宋体" w:eastAsia="宋体" w:cs="宋体"/>
          <w:sz w:val="28"/>
          <w:szCs w:val="28"/>
        </w:rPr>
        <w:t>以及不限于上述罗列的其它的相关规范。</w:t>
      </w:r>
    </w:p>
    <w:p>
      <w:pPr>
        <w:numPr>
          <w:ilvl w:val="0"/>
          <w:numId w:val="1"/>
        </w:numPr>
        <w:ind w:left="0" w:leftChars="0" w:firstLine="420" w:firstLineChars="0"/>
        <w:rPr>
          <w:rFonts w:hint="eastAsia" w:ascii="宋体" w:hAnsi="宋体" w:eastAsia="宋体" w:cs="宋体"/>
          <w:sz w:val="28"/>
          <w:szCs w:val="28"/>
        </w:rPr>
      </w:pPr>
      <w:r>
        <w:rPr>
          <w:rFonts w:hint="eastAsia" w:ascii="楷体" w:hAnsi="楷体" w:eastAsia="楷体"/>
          <w:sz w:val="28"/>
          <w:szCs w:val="28"/>
          <w:lang w:eastAsia="zh-CN"/>
        </w:rPr>
        <w:t>服务要求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5" w:firstLineChars="0"/>
        <w:textAlignment w:val="auto"/>
        <w:rPr>
          <w:rFonts w:hint="eastAsia" w:ascii="宋体" w:hAnsi="宋体" w:eastAsia="宋体" w:cs="黑体"/>
          <w:b/>
          <w:bCs/>
          <w:sz w:val="28"/>
          <w:szCs w:val="28"/>
        </w:rPr>
      </w:pPr>
      <w:r>
        <w:rPr>
          <w:rFonts w:hint="eastAsia" w:ascii="汉仪叶叶相思体简" w:hAnsi="汉仪叶叶相思体简" w:eastAsia="汉仪叶叶相思体简" w:cs="汉仪叶叶相思体简"/>
          <w:b/>
          <w:bCs/>
          <w:color w:val="auto"/>
          <w:sz w:val="28"/>
          <w:szCs w:val="28"/>
          <w:lang w:val="en-US" w:eastAsia="zh-CN"/>
        </w:rPr>
        <w:t>★</w:t>
      </w:r>
      <w:r>
        <w:rPr>
          <w:rFonts w:hint="eastAsia" w:ascii="宋体" w:hAnsi="宋体" w:eastAsia="宋体" w:cs="黑体"/>
          <w:b/>
          <w:bCs/>
          <w:sz w:val="28"/>
          <w:szCs w:val="28"/>
        </w:rPr>
        <w:t>项目经理</w:t>
      </w:r>
      <w:r>
        <w:rPr>
          <w:rFonts w:hint="eastAsia" w:ascii="宋体" w:hAnsi="宋体" w:eastAsia="宋体" w:cs="黑体"/>
          <w:b/>
          <w:bCs/>
          <w:sz w:val="28"/>
          <w:szCs w:val="28"/>
          <w:lang w:eastAsia="zh-CN"/>
        </w:rPr>
        <w:t>基本</w:t>
      </w:r>
      <w:r>
        <w:rPr>
          <w:rFonts w:hint="eastAsia" w:ascii="宋体" w:hAnsi="宋体" w:eastAsia="宋体" w:cs="黑体"/>
          <w:b/>
          <w:bCs/>
          <w:sz w:val="28"/>
          <w:szCs w:val="28"/>
        </w:rPr>
        <w:t>要求</w:t>
      </w:r>
      <w:r>
        <w:rPr>
          <w:rFonts w:hint="eastAsia" w:ascii="宋体" w:hAnsi="宋体" w:eastAsia="宋体" w:cs="黑体"/>
          <w:b/>
          <w:bCs/>
          <w:sz w:val="28"/>
          <w:szCs w:val="28"/>
          <w:lang w:eastAsia="zh-CN"/>
        </w:rPr>
        <w:t>（以下各项需提供相关证明材料）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黑体"/>
          <w:sz w:val="28"/>
          <w:szCs w:val="28"/>
        </w:rPr>
      </w:pPr>
      <w:r>
        <w:rPr>
          <w:rFonts w:hint="eastAsia" w:ascii="宋体" w:hAnsi="宋体" w:eastAsia="宋体" w:cs="黑体"/>
          <w:sz w:val="28"/>
          <w:szCs w:val="28"/>
        </w:rPr>
        <w:t>负责物业服务的日常管理工作。其岗位要求包括：</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黑体"/>
          <w:sz w:val="28"/>
          <w:szCs w:val="28"/>
        </w:rPr>
      </w:pPr>
      <w:r>
        <w:rPr>
          <w:rFonts w:hint="eastAsia" w:ascii="宋体" w:hAnsi="宋体" w:eastAsia="宋体" w:cs="黑体"/>
          <w:sz w:val="28"/>
          <w:szCs w:val="28"/>
        </w:rPr>
        <w:t>负责项目部日常管理工作，主动与服务对象沟通，及时安排检查各班组工作，发现问题及时解决，每月汇总各岗位人员完成任务情况向采购人及物业公司汇报。</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黑体"/>
          <w:sz w:val="28"/>
          <w:szCs w:val="28"/>
        </w:rPr>
      </w:pPr>
      <w:r>
        <w:rPr>
          <w:rFonts w:hint="eastAsia" w:ascii="宋体" w:hAnsi="宋体" w:eastAsia="宋体" w:cs="黑体"/>
          <w:sz w:val="28"/>
          <w:szCs w:val="28"/>
        </w:rPr>
        <w:t>负责项目部日常耗材的管理，建立保洁、维修等各种耗材的领用审批制度，做好管理台账，做到日常耗材领用、分发登记清楚，审批程序到位、账目无差错。</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黑体"/>
          <w:sz w:val="28"/>
          <w:szCs w:val="28"/>
        </w:rPr>
      </w:pPr>
      <w:r>
        <w:rPr>
          <w:rFonts w:hint="eastAsia" w:ascii="宋体" w:hAnsi="宋体" w:eastAsia="宋体" w:cs="黑体"/>
          <w:sz w:val="28"/>
          <w:szCs w:val="28"/>
        </w:rPr>
        <w:t>负责员工的招聘、考核、离职等日常工作管理，制定项目部员工绩效考核体系，并据实进行奖罚，做好日常工作的考勤、记录、检查并存档。</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黑体"/>
          <w:sz w:val="28"/>
          <w:szCs w:val="28"/>
        </w:rPr>
      </w:pPr>
      <w:r>
        <w:rPr>
          <w:rFonts w:hint="eastAsia" w:ascii="宋体" w:hAnsi="宋体" w:eastAsia="宋体" w:cs="黑体"/>
          <w:sz w:val="28"/>
          <w:szCs w:val="28"/>
        </w:rPr>
        <w:t>负责物业员工的形象管理，按要求统一着装、挂牌服务，在工作中态度礼貌、用语文明。</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黑体"/>
          <w:sz w:val="28"/>
          <w:szCs w:val="28"/>
        </w:rPr>
      </w:pPr>
      <w:r>
        <w:rPr>
          <w:rFonts w:hint="eastAsia" w:ascii="宋体" w:hAnsi="宋体" w:eastAsia="宋体" w:cs="黑体"/>
          <w:sz w:val="28"/>
          <w:szCs w:val="28"/>
        </w:rPr>
        <w:t>负责协调与服务单位的关系，建立一条良好的沟通渠道，学习相关文化知识，充实业务水平，保证服务质量。</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0" w:leftChars="200" w:firstLine="0" w:firstLineChars="0"/>
        <w:textAlignment w:val="auto"/>
        <w:rPr>
          <w:rFonts w:hint="eastAsia" w:ascii="宋体" w:hAnsi="宋体" w:eastAsia="宋体" w:cs="黑体"/>
          <w:sz w:val="28"/>
          <w:szCs w:val="28"/>
        </w:rPr>
      </w:pPr>
      <w:r>
        <w:rPr>
          <w:rFonts w:hint="eastAsia" w:ascii="宋体" w:hAnsi="宋体" w:eastAsia="宋体" w:cs="黑体"/>
          <w:sz w:val="28"/>
          <w:szCs w:val="28"/>
        </w:rPr>
        <w:t>及时处理解决突发事件，完成公司及服务单位领导交办的其他临时性工作。</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5" w:firstLineChars="0"/>
        <w:textAlignment w:val="auto"/>
        <w:rPr>
          <w:rFonts w:hint="eastAsia" w:ascii="宋体" w:hAnsi="宋体" w:eastAsia="宋体" w:cs="黑体"/>
          <w:sz w:val="28"/>
          <w:szCs w:val="28"/>
          <w:lang w:eastAsia="zh-CN"/>
        </w:rPr>
      </w:pPr>
      <w:r>
        <w:rPr>
          <w:rFonts w:hint="eastAsia" w:ascii="宋体" w:hAnsi="宋体" w:eastAsia="宋体" w:cs="黑体"/>
          <w:sz w:val="28"/>
          <w:szCs w:val="28"/>
          <w:lang w:eastAsia="zh-CN"/>
        </w:rPr>
        <w:t>保洁基本要求（以下各项需提供相关证明材料）</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0" w:leftChars="0" w:firstLine="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rPr>
        <w:t>统一着装，服装整洁，服务礼貌，培训上岗；</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0" w:leftChars="0" w:firstLine="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rPr>
        <w:t>保洁人员配置合理，工作强度适中；</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0" w:leftChars="0" w:firstLine="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lang w:eastAsia="zh-CN"/>
        </w:rPr>
        <w:t>供应商</w:t>
      </w:r>
      <w:r>
        <w:rPr>
          <w:rFonts w:hint="eastAsia" w:ascii="宋体" w:hAnsi="宋体" w:eastAsia="宋体" w:cs="黑体"/>
          <w:bCs/>
          <w:color w:val="auto"/>
          <w:sz w:val="28"/>
          <w:szCs w:val="20"/>
        </w:rPr>
        <w:t>需配备必要的清洁工具、清洁耗材，例如扫帚、拖布、抹布、清洁剂、保养剂等；</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0" w:leftChars="0" w:firstLine="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rPr>
        <w:t>依据保洁现场需求，可配置现代化保洁机械设备，例如清洗机、扫地车、吸尘器、清冰雪设备等，以便于保洁快速作业及节约人力成本；</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420" w:leftChars="0" w:firstLine="34" w:firstLineChars="0"/>
        <w:textAlignment w:val="auto"/>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rPr>
        <w:t>拟派保洁管理人员应做好保洁现场工作检查、及时整改采购人提出的问题并反馈结果、统筹管理、培训各区域保洁人员等保洁管理工作。</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5" w:firstLineChars="0"/>
        <w:textAlignment w:val="auto"/>
        <w:rPr>
          <w:rFonts w:hint="eastAsia" w:ascii="宋体" w:hAnsi="宋体" w:eastAsia="宋体" w:cs="黑体"/>
          <w:sz w:val="28"/>
          <w:szCs w:val="28"/>
          <w:lang w:eastAsia="zh-CN"/>
        </w:rPr>
      </w:pPr>
      <w:r>
        <w:rPr>
          <w:rFonts w:hint="eastAsia" w:ascii="宋体" w:hAnsi="宋体" w:eastAsia="宋体" w:cs="黑体"/>
          <w:sz w:val="28"/>
          <w:szCs w:val="28"/>
          <w:lang w:eastAsia="zh-CN"/>
        </w:rPr>
        <w:t>水电维修服务基本要求（以下各项需提供相关证明材料）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sz w:val="28"/>
          <w:szCs w:val="28"/>
        </w:rPr>
      </w:pPr>
      <w:r>
        <w:rPr>
          <w:rFonts w:hint="eastAsia"/>
          <w:sz w:val="28"/>
          <w:szCs w:val="28"/>
        </w:rPr>
        <w:t>范围主要为所有公共区域的供配电管理与水电维修等。</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54" w:leftChars="0" w:hanging="34" w:firstLineChars="0"/>
        <w:textAlignment w:val="auto"/>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rPr>
        <w:t>具备相应的资格证书。</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54" w:leftChars="0" w:hanging="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rPr>
        <w:t>全年365天，全天24小时受理各类报修服务，接到报修电话后修理人员应在15分钟内赶赴现场，对当场不能处理的项目应在48小时内修复完毕（急修项目24小时内修复）；</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54" w:leftChars="0" w:hanging="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rPr>
        <w:t>各类公共设施、设备、房屋建筑完好率达98%以上；</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54" w:leftChars="0" w:hanging="34" w:firstLineChars="0"/>
        <w:textAlignment w:val="auto"/>
        <w:rPr>
          <w:rFonts w:hint="eastAsia" w:ascii="宋体" w:hAnsi="宋体" w:eastAsia="宋体" w:cs="黑体"/>
          <w:bCs/>
          <w:color w:val="auto"/>
          <w:sz w:val="28"/>
          <w:szCs w:val="20"/>
        </w:rPr>
      </w:pPr>
      <w:r>
        <w:rPr>
          <w:rFonts w:hint="eastAsia" w:ascii="宋体" w:hAnsi="宋体" w:eastAsia="宋体" w:cs="黑体"/>
          <w:bCs/>
          <w:color w:val="auto"/>
          <w:sz w:val="28"/>
          <w:szCs w:val="20"/>
        </w:rPr>
        <w:t>维修质量合格率达98%以上，返修率不高于1％；</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54" w:leftChars="0" w:hanging="34" w:firstLineChars="0"/>
        <w:textAlignment w:val="auto"/>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rPr>
        <w:t>维修服务回访率达100％。</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5" w:firstLineChars="0"/>
        <w:textAlignment w:val="auto"/>
        <w:rPr>
          <w:rFonts w:hint="eastAsia" w:ascii="宋体" w:hAnsi="宋体" w:eastAsia="宋体" w:cs="黑体"/>
          <w:sz w:val="28"/>
          <w:szCs w:val="28"/>
          <w:lang w:val="en-US" w:eastAsia="zh-CN"/>
        </w:rPr>
      </w:pPr>
      <w:r>
        <w:rPr>
          <w:rFonts w:hint="eastAsia" w:ascii="宋体" w:hAnsi="宋体" w:eastAsia="宋体" w:cs="黑体"/>
          <w:sz w:val="28"/>
          <w:szCs w:val="28"/>
          <w:lang w:val="en-US" w:eastAsia="zh-CN"/>
        </w:rPr>
        <w:t>绿化养护</w:t>
      </w:r>
      <w:r>
        <w:rPr>
          <w:rFonts w:hint="eastAsia" w:ascii="宋体" w:hAnsi="宋体" w:eastAsia="宋体" w:cs="黑体"/>
          <w:sz w:val="28"/>
          <w:szCs w:val="28"/>
          <w:lang w:eastAsia="zh-CN"/>
        </w:rPr>
        <w:t>（以下各项需提供相关证明材料）</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454" w:leftChars="0" w:hanging="34" w:firstLineChars="0"/>
        <w:textAlignment w:val="auto"/>
        <w:rPr>
          <w:rFonts w:hint="eastAsia" w:ascii="宋体" w:hAnsi="宋体" w:eastAsia="宋体" w:cs="黑体"/>
          <w:sz w:val="28"/>
          <w:szCs w:val="28"/>
          <w:lang w:val="en-US" w:eastAsia="zh-CN"/>
        </w:rPr>
      </w:pPr>
      <w:r>
        <w:rPr>
          <w:rFonts w:hint="eastAsia" w:ascii="宋体" w:hAnsi="宋体" w:eastAsia="宋体" w:cs="黑体"/>
          <w:sz w:val="28"/>
          <w:szCs w:val="28"/>
          <w:lang w:val="en-US" w:eastAsia="zh-CN"/>
        </w:rPr>
        <w:t>养护质量标准：供应商提供的绿化养护质量要求需符合《绿化养护等级质量标准》中一级养护质量标准。</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454" w:leftChars="0" w:hanging="34" w:firstLineChars="0"/>
        <w:textAlignment w:val="auto"/>
        <w:rPr>
          <w:rFonts w:hint="eastAsia" w:ascii="宋体" w:hAnsi="宋体" w:eastAsia="宋体" w:cs="黑体"/>
          <w:sz w:val="28"/>
          <w:szCs w:val="28"/>
          <w:lang w:val="en-US" w:eastAsia="zh-CN"/>
        </w:rPr>
      </w:pPr>
      <w:r>
        <w:rPr>
          <w:rFonts w:hint="eastAsia" w:ascii="宋体" w:hAnsi="宋体" w:eastAsia="宋体" w:cs="黑体"/>
          <w:sz w:val="28"/>
          <w:szCs w:val="28"/>
          <w:lang w:val="en-US" w:eastAsia="zh-CN"/>
        </w:rPr>
        <w:t>根据采购人的要求，编制详细的绿化养护方案，科学、合理地指导养护全过程，制定常规的养护计划。（提高完整的养护方案）</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line="360" w:lineRule="auto"/>
        <w:ind w:left="454" w:leftChars="0" w:hanging="34" w:firstLineChars="0"/>
        <w:textAlignment w:val="auto"/>
        <w:rPr>
          <w:rFonts w:hint="default" w:ascii="宋体" w:hAnsi="宋体" w:eastAsia="宋体" w:cs="黑体"/>
          <w:sz w:val="28"/>
          <w:szCs w:val="28"/>
          <w:lang w:val="en-US" w:eastAsia="zh-CN"/>
        </w:rPr>
      </w:pPr>
      <w:r>
        <w:rPr>
          <w:rFonts w:hint="eastAsia" w:ascii="宋体" w:hAnsi="宋体" w:eastAsia="宋体" w:cs="黑体"/>
          <w:sz w:val="28"/>
          <w:szCs w:val="28"/>
          <w:lang w:val="en-US" w:eastAsia="zh-CN"/>
        </w:rPr>
        <w:t>技术培训：开工前，对全部参加养护工作的人员进行技术培训和安全培训，学习操作规程，提高技术和操作能力，增强安全意识。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hanging="5" w:firstLineChars="0"/>
        <w:textAlignment w:val="auto"/>
        <w:rPr>
          <w:rFonts w:hint="eastAsia" w:ascii="宋体" w:hAnsi="宋体" w:eastAsia="宋体" w:cs="黑体"/>
          <w:b/>
          <w:bCs/>
          <w:sz w:val="28"/>
          <w:szCs w:val="28"/>
          <w:lang w:val="en-US" w:eastAsia="zh-CN"/>
        </w:rPr>
      </w:pPr>
      <w:r>
        <w:rPr>
          <w:rFonts w:hint="eastAsia" w:ascii="汉仪叶叶相思体简" w:hAnsi="汉仪叶叶相思体简" w:eastAsia="汉仪叶叶相思体简" w:cs="汉仪叶叶相思体简"/>
          <w:b/>
          <w:bCs/>
          <w:color w:val="auto"/>
          <w:sz w:val="28"/>
          <w:szCs w:val="28"/>
          <w:lang w:val="en-US" w:eastAsia="zh-CN"/>
        </w:rPr>
        <w:t>★</w:t>
      </w:r>
      <w:r>
        <w:rPr>
          <w:rFonts w:hint="eastAsia" w:ascii="宋体" w:hAnsi="宋体" w:eastAsia="宋体" w:cs="黑体"/>
          <w:b/>
          <w:bCs/>
          <w:sz w:val="28"/>
          <w:szCs w:val="28"/>
          <w:lang w:val="en-US" w:eastAsia="zh-CN"/>
        </w:rPr>
        <w:t>其他要求</w:t>
      </w:r>
      <w:r>
        <w:rPr>
          <w:rFonts w:hint="eastAsia" w:ascii="宋体" w:hAnsi="宋体" w:eastAsia="宋体" w:cs="黑体"/>
          <w:b/>
          <w:bCs/>
          <w:sz w:val="28"/>
          <w:szCs w:val="28"/>
          <w:lang w:eastAsia="zh-CN"/>
        </w:rPr>
        <w:t>（以下各项需提供相关证明材料）</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供应商定期抓好物业服务人员的业务培训，加强经常性的保密教育、法纪教育、安全教育，确保不发生泄密事件、刑事案件、责任事故和安全事故。若因管理不善，发生相关案件和事故由供应商自行承担，触犯法律的，依法及时严肃查处。</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供应商遵守采购人的安全制度，服务过程中不影响正常工作，做到无干扰服务；不得私自带领无关人员进入机关办公区域。</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物业工作人员须着工作服上岗，并规范、整洁着装。各岗位做到持证上岗。</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物业服务人员应严格遵守工作程序和技术规程。保洁时，要及时将垃圾转运到指定垃圾中转箱内，不污染、不损坏办公楼公共场所和公共设施。规范操作，服从管理人员的领导，不误时、不误事。</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供应商应协助采购人对其他第三方单位（消防维保、绿化养护单位、电梯维保单位）工作进行监管，供应商协助采购人明确各方责任、协助监管第三方实施过程、协助核查第三方作业程序。</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供应商应提供内部合同管控、报事报修数据统计、成本支出分析、物资采购统计、月度考核表等资料。</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供应商应具备健全的财务管理制度，并对各项收支数据进行规范管理，做到运作规范、账目清晰。</w:t>
      </w:r>
    </w:p>
    <w:p>
      <w:pPr>
        <w:numPr>
          <w:ilvl w:val="0"/>
          <w:numId w:val="8"/>
        </w:numPr>
        <w:spacing w:line="360" w:lineRule="auto"/>
        <w:ind w:left="454" w:leftChars="0" w:hanging="34" w:firstLineChars="0"/>
        <w:rPr>
          <w:rFonts w:hint="eastAsia" w:ascii="宋体" w:hAnsi="宋体" w:eastAsia="宋体" w:cs="黑体"/>
          <w:bCs/>
          <w:color w:val="auto"/>
          <w:sz w:val="28"/>
          <w:szCs w:val="20"/>
          <w:lang w:val="en-US" w:eastAsia="zh-CN"/>
        </w:rPr>
      </w:pPr>
      <w:r>
        <w:rPr>
          <w:rFonts w:hint="eastAsia" w:ascii="宋体" w:hAnsi="宋体" w:eastAsia="宋体" w:cs="黑体"/>
          <w:bCs/>
          <w:color w:val="auto"/>
          <w:sz w:val="28"/>
          <w:szCs w:val="20"/>
          <w:lang w:val="en-US" w:eastAsia="zh-CN"/>
        </w:rPr>
        <w:t>供应商入围后需入驻黄石市（大冶市）政府采购电子商城。</w:t>
      </w:r>
    </w:p>
    <w:p>
      <w:pPr>
        <w:numPr>
          <w:ilvl w:val="0"/>
          <w:numId w:val="8"/>
        </w:numPr>
        <w:spacing w:line="360" w:lineRule="auto"/>
        <w:ind w:left="454" w:leftChars="0" w:hanging="34" w:firstLineChars="0"/>
        <w:rPr>
          <w:rFonts w:hint="default" w:ascii="宋体" w:hAnsi="宋体" w:eastAsia="宋体" w:cs="黑体"/>
          <w:b w:val="0"/>
          <w:bCs w:val="0"/>
          <w:color w:val="auto"/>
          <w:sz w:val="28"/>
          <w:szCs w:val="20"/>
          <w:lang w:val="en-US" w:eastAsia="zh-CN"/>
        </w:rPr>
      </w:pPr>
      <w:r>
        <w:rPr>
          <w:rFonts w:hint="eastAsia" w:ascii="宋体" w:hAnsi="宋体" w:eastAsia="宋体" w:cs="黑体"/>
          <w:b w:val="0"/>
          <w:bCs w:val="0"/>
          <w:color w:val="auto"/>
          <w:sz w:val="28"/>
          <w:szCs w:val="20"/>
          <w:lang w:val="en-US" w:eastAsia="zh-CN"/>
        </w:rPr>
        <w:t>严格依据征集文件要求和响应文件的承诺，向市直各级单位提供服务。不实行任何形式的不合理限制，提出任何附加条款。全面履行投标承诺，圆满完成市直各级单位的相关服务工作，确保质量，提供快捷、方便、满意的服务。（提供承诺函）</w:t>
      </w:r>
    </w:p>
    <w:p>
      <w:pPr>
        <w:rPr>
          <w:rFonts w:hint="eastAsia" w:ascii="黑体" w:hAnsi="黑体" w:eastAsia="黑体"/>
          <w:sz w:val="32"/>
          <w:szCs w:val="32"/>
          <w:lang w:eastAsia="zh-CN"/>
        </w:rPr>
      </w:pPr>
      <w:r>
        <w:rPr>
          <w:rFonts w:hint="eastAsia" w:ascii="黑体" w:hAnsi="黑体" w:eastAsia="黑体"/>
          <w:sz w:val="32"/>
          <w:szCs w:val="32"/>
          <w:lang w:eastAsia="zh-CN"/>
        </w:rPr>
        <w:t>三、商务要求</w:t>
      </w:r>
    </w:p>
    <w:p>
      <w:pPr>
        <w:numPr>
          <w:ilvl w:val="0"/>
          <w:numId w:val="9"/>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框架协议履行期限：</w:t>
      </w:r>
      <w:r>
        <w:rPr>
          <w:rFonts w:hint="eastAsia" w:eastAsia="宋体"/>
          <w:color w:val="auto"/>
          <w:sz w:val="28"/>
          <w:szCs w:val="28"/>
          <w:lang w:eastAsia="zh-CN"/>
        </w:rPr>
        <w:t>自框架协议签订之日起至202</w:t>
      </w:r>
      <w:r>
        <w:rPr>
          <w:rFonts w:hint="eastAsia" w:eastAsia="宋体"/>
          <w:color w:val="auto"/>
          <w:sz w:val="28"/>
          <w:szCs w:val="28"/>
          <w:lang w:val="en-US" w:eastAsia="zh-CN"/>
        </w:rPr>
        <w:t>5</w:t>
      </w:r>
      <w:r>
        <w:rPr>
          <w:rFonts w:hint="eastAsia" w:eastAsia="宋体"/>
          <w:color w:val="auto"/>
          <w:sz w:val="28"/>
          <w:szCs w:val="28"/>
          <w:lang w:eastAsia="zh-CN"/>
        </w:rPr>
        <w:t>年12月31日。</w:t>
      </w:r>
    </w:p>
    <w:p>
      <w:pPr>
        <w:numPr>
          <w:ilvl w:val="0"/>
          <w:numId w:val="9"/>
        </w:numPr>
        <w:ind w:left="0" w:leftChars="0" w:firstLine="420" w:firstLineChars="0"/>
        <w:rPr>
          <w:rFonts w:hint="eastAsia" w:ascii="宋体" w:hAnsi="宋体" w:eastAsia="宋体" w:cs="宋体"/>
          <w:bCs/>
          <w:sz w:val="28"/>
          <w:szCs w:val="28"/>
        </w:rPr>
      </w:pPr>
      <w:r>
        <w:rPr>
          <w:rFonts w:hint="eastAsia" w:ascii="楷体" w:hAnsi="楷体" w:eastAsia="楷体"/>
          <w:sz w:val="28"/>
          <w:szCs w:val="28"/>
          <w:lang w:eastAsia="zh-CN"/>
        </w:rPr>
        <w:t>服务地点：</w:t>
      </w:r>
      <w:r>
        <w:rPr>
          <w:rFonts w:hint="eastAsia" w:eastAsia="宋体"/>
          <w:color w:val="auto"/>
          <w:sz w:val="28"/>
          <w:szCs w:val="28"/>
          <w:lang w:eastAsia="zh-CN"/>
        </w:rPr>
        <w:t>采购人指定地点</w:t>
      </w:r>
      <w:r>
        <w:rPr>
          <w:rFonts w:hint="eastAsia" w:ascii="宋体" w:hAnsi="宋体" w:eastAsia="宋体" w:cs="宋体"/>
          <w:bCs/>
          <w:sz w:val="28"/>
          <w:szCs w:val="28"/>
        </w:rPr>
        <w:t>。</w:t>
      </w:r>
    </w:p>
    <w:p>
      <w:pPr>
        <w:numPr>
          <w:ilvl w:val="0"/>
          <w:numId w:val="9"/>
        </w:numPr>
        <w:ind w:left="0" w:leftChars="0" w:firstLine="420" w:firstLineChars="0"/>
        <w:rPr>
          <w:rFonts w:hint="eastAsia" w:ascii="黑体" w:hAnsi="黑体" w:eastAsia="黑体"/>
          <w:sz w:val="32"/>
          <w:szCs w:val="32"/>
        </w:rPr>
      </w:pPr>
      <w:r>
        <w:rPr>
          <w:rFonts w:hint="eastAsia" w:ascii="楷体" w:hAnsi="楷体" w:eastAsia="楷体"/>
          <w:sz w:val="28"/>
          <w:szCs w:val="28"/>
          <w:lang w:eastAsia="zh-CN"/>
        </w:rPr>
        <w:t>报价要求</w:t>
      </w:r>
    </w:p>
    <w:p>
      <w:pPr>
        <w:keepNext w:val="0"/>
        <w:keepLines w:val="0"/>
        <w:pageBreakBefore w:val="0"/>
        <w:widowControl w:val="0"/>
        <w:numPr>
          <w:ilvl w:val="0"/>
          <w:numId w:val="0"/>
        </w:numPr>
        <w:kinsoku/>
        <w:wordWrap/>
        <w:overflowPunct/>
        <w:topLinePunct w:val="0"/>
        <w:autoSpaceDE/>
        <w:autoSpaceDN/>
        <w:bidi w:val="0"/>
        <w:adjustRightInd/>
        <w:snapToGrid/>
        <w:ind w:left="5" w:leftChars="0" w:firstLine="630" w:firstLineChars="225"/>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供应商所有报价均应为含税价格，请供应商综合考虑服务的成本、效益等因素，结合以下情况，慎重填写本次报价内容；</w:t>
      </w:r>
    </w:p>
    <w:tbl>
      <w:tblPr>
        <w:tblStyle w:val="8"/>
        <w:tblpPr w:leftFromText="180" w:rightFromText="180" w:vertAnchor="text" w:horzAnchor="margin" w:tblpXSpec="center" w:tblpY="15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7"/>
        <w:gridCol w:w="2071"/>
        <w:gridCol w:w="1859"/>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808" w:type="pct"/>
            <w:noWrap w:val="0"/>
            <w:vAlign w:val="center"/>
          </w:tcPr>
          <w:p>
            <w:pPr>
              <w:jc w:val="center"/>
              <w:rPr>
                <w:rFonts w:hint="eastAsia" w:ascii="黑体" w:hAnsi="黑体" w:eastAsia="黑体" w:cs="黑体"/>
                <w:sz w:val="24"/>
                <w:szCs w:val="24"/>
              </w:rPr>
            </w:pPr>
            <w:r>
              <w:rPr>
                <w:rFonts w:hint="eastAsia" w:ascii="黑体" w:hAnsi="黑体" w:eastAsia="黑体" w:cs="黑体"/>
                <w:sz w:val="24"/>
                <w:szCs w:val="24"/>
                <w:lang w:eastAsia="zh-CN"/>
              </w:rPr>
              <w:t>服务</w:t>
            </w:r>
            <w:r>
              <w:rPr>
                <w:rFonts w:hint="eastAsia" w:ascii="黑体" w:hAnsi="黑体" w:eastAsia="黑体" w:cs="黑体"/>
                <w:sz w:val="24"/>
                <w:szCs w:val="24"/>
              </w:rPr>
              <w:t>项目</w:t>
            </w:r>
          </w:p>
        </w:tc>
        <w:tc>
          <w:tcPr>
            <w:tcW w:w="1215" w:type="pct"/>
            <w:noWrap w:val="0"/>
            <w:vAlign w:val="center"/>
          </w:tcPr>
          <w:p>
            <w:pPr>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最高限价</w:t>
            </w:r>
          </w:p>
        </w:tc>
        <w:tc>
          <w:tcPr>
            <w:tcW w:w="1091" w:type="pct"/>
            <w:noWrap w:val="0"/>
            <w:vAlign w:val="center"/>
          </w:tcPr>
          <w:p>
            <w:pPr>
              <w:spacing w:line="240" w:lineRule="auto"/>
              <w:jc w:val="center"/>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折扣率（%）</w:t>
            </w:r>
          </w:p>
          <w:p>
            <w:pPr>
              <w:jc w:val="center"/>
              <w:rPr>
                <w:rFonts w:hint="eastAsia" w:ascii="黑体" w:hAnsi="黑体" w:eastAsia="黑体" w:cs="黑体"/>
                <w:sz w:val="24"/>
                <w:szCs w:val="24"/>
                <w:lang w:eastAsia="zh-CN"/>
              </w:rPr>
            </w:pPr>
            <w:r>
              <w:rPr>
                <w:rFonts w:hint="eastAsia" w:ascii="仿宋" w:hAnsi="仿宋" w:eastAsia="仿宋" w:cs="仿宋"/>
                <w:b w:val="0"/>
                <w:bCs/>
                <w:sz w:val="22"/>
                <w:szCs w:val="22"/>
                <w:highlight w:val="none"/>
                <w:lang w:eastAsia="zh-CN"/>
              </w:rPr>
              <w:t>（小数位保留两位小数）</w:t>
            </w:r>
          </w:p>
        </w:tc>
        <w:tc>
          <w:tcPr>
            <w:tcW w:w="1884" w:type="pct"/>
            <w:noWrap w:val="0"/>
            <w:vAlign w:val="center"/>
          </w:tcPr>
          <w:p>
            <w:pPr>
              <w:jc w:val="center"/>
              <w:rPr>
                <w:rFonts w:hint="eastAsia" w:ascii="黑体" w:hAnsi="黑体" w:eastAsia="黑体" w:cs="黑体"/>
                <w:sz w:val="24"/>
                <w:szCs w:val="24"/>
              </w:rPr>
            </w:pPr>
            <w:r>
              <w:rPr>
                <w:rFonts w:hint="eastAsia" w:ascii="黑体" w:hAns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808" w:type="pct"/>
            <w:noWrap w:val="0"/>
            <w:vAlign w:val="center"/>
          </w:tcPr>
          <w:p>
            <w:pPr>
              <w:jc w:val="center"/>
              <w:rPr>
                <w:rFonts w:hint="eastAsia" w:ascii="黑体" w:hAnsi="黑体" w:eastAsia="黑体" w:cs="黑体"/>
                <w:sz w:val="24"/>
                <w:szCs w:val="24"/>
                <w:lang w:eastAsia="zh-CN"/>
              </w:rPr>
            </w:pPr>
          </w:p>
        </w:tc>
        <w:tc>
          <w:tcPr>
            <w:tcW w:w="1215" w:type="pct"/>
            <w:noWrap w:val="0"/>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收费标准参考《大冶市物业服务收费管理办法》</w:t>
            </w:r>
          </w:p>
        </w:tc>
        <w:tc>
          <w:tcPr>
            <w:tcW w:w="1091" w:type="pct"/>
            <w:noWrap w:val="0"/>
            <w:vAlign w:val="center"/>
          </w:tcPr>
          <w:p>
            <w:pPr>
              <w:ind w:firstLine="240" w:firstLineChars="100"/>
              <w:jc w:val="left"/>
              <w:rPr>
                <w:rFonts w:hint="eastAsia" w:ascii="仿宋" w:hAnsi="仿宋" w:eastAsia="仿宋" w:cs="仿宋"/>
                <w:sz w:val="24"/>
                <w:szCs w:val="24"/>
                <w:lang w:val="en-US" w:eastAsia="zh-CN"/>
              </w:rPr>
            </w:pPr>
            <w:r>
              <w:rPr>
                <w:rFonts w:hint="eastAsia" w:ascii="仿宋" w:hAnsi="仿宋" w:eastAsia="仿宋"/>
                <w:sz w:val="24"/>
                <w:szCs w:val="24"/>
                <w:u w:val="single"/>
                <w:lang w:eastAsia="zh-CN"/>
              </w:rPr>
              <w:t>　</w:t>
            </w:r>
            <w:r>
              <w:rPr>
                <w:rFonts w:hint="eastAsia" w:ascii="仿宋" w:hAnsi="仿宋" w:eastAsia="仿宋"/>
                <w:sz w:val="24"/>
                <w:szCs w:val="24"/>
                <w:u w:val="single"/>
                <w:lang w:val="en-US" w:eastAsia="zh-CN"/>
              </w:rPr>
              <w:t xml:space="preserve">    </w:t>
            </w:r>
            <w:r>
              <w:rPr>
                <w:rFonts w:hint="eastAsia" w:ascii="仿宋" w:hAnsi="仿宋" w:eastAsia="仿宋"/>
                <w:sz w:val="24"/>
                <w:szCs w:val="24"/>
              </w:rPr>
              <w:t>％</w:t>
            </w:r>
          </w:p>
        </w:tc>
        <w:tc>
          <w:tcPr>
            <w:tcW w:w="1884" w:type="pct"/>
            <w:noWrap w:val="0"/>
            <w:vAlign w:val="center"/>
          </w:tcPr>
          <w:p>
            <w:pPr>
              <w:jc w:val="left"/>
              <w:rPr>
                <w:rFonts w:hint="eastAsia" w:ascii="仿宋" w:hAnsi="仿宋" w:eastAsia="仿宋" w:cs="仿宋"/>
                <w:sz w:val="24"/>
                <w:szCs w:val="24"/>
                <w:lang w:eastAsia="zh-CN"/>
              </w:rPr>
            </w:pPr>
            <w:r>
              <w:rPr>
                <w:rFonts w:hint="default" w:ascii="仿宋" w:hAnsi="仿宋" w:eastAsia="仿宋" w:cs="仿宋"/>
                <w:sz w:val="22"/>
                <w:szCs w:val="22"/>
                <w:lang w:val="en-US" w:eastAsia="zh-CN"/>
              </w:rPr>
              <w:t>以折扣形式报价，折扣形式报价仅支持正向折扣，例如：填写60%时表示打6折，填写85%时表示打8.5折</w:t>
            </w:r>
            <w:r>
              <w:rPr>
                <w:rFonts w:hint="eastAsia" w:ascii="仿宋" w:hAnsi="仿宋" w:eastAsia="仿宋" w:cs="仿宋"/>
                <w:sz w:val="22"/>
                <w:szCs w:val="22"/>
                <w:lang w:val="en-US" w:eastAsia="zh-CN"/>
              </w:rPr>
              <w:t>，折扣最高不得超过100%。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08" w:type="pct"/>
            <w:noWrap w:val="0"/>
            <w:vAlign w:val="center"/>
          </w:tcPr>
          <w:p>
            <w:pPr>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合同履行期限</w:t>
            </w:r>
          </w:p>
        </w:tc>
        <w:tc>
          <w:tcPr>
            <w:tcW w:w="4191" w:type="pct"/>
            <w:gridSpan w:val="3"/>
            <w:noWrap w:val="0"/>
            <w:vAlign w:val="center"/>
          </w:tcPr>
          <w:p>
            <w:pPr>
              <w:jc w:val="center"/>
              <w:rPr>
                <w:sz w:val="24"/>
                <w:szCs w:val="24"/>
              </w:rPr>
            </w:pPr>
            <w:r>
              <w:rPr>
                <w:rFonts w:hint="eastAsia" w:ascii="黑体" w:hAnsi="黑体" w:eastAsia="黑体" w:cs="黑体"/>
                <w:color w:val="auto"/>
                <w:sz w:val="24"/>
                <w:szCs w:val="24"/>
                <w:highlight w:val="none"/>
                <w:lang w:eastAsia="zh-CN"/>
              </w:rPr>
              <w:t>框架协议签订之日起至</w:t>
            </w:r>
            <w:r>
              <w:rPr>
                <w:rFonts w:hint="eastAsia" w:ascii="黑体" w:hAnsi="黑体" w:eastAsia="黑体" w:cs="黑体"/>
                <w:color w:val="auto"/>
                <w:sz w:val="24"/>
                <w:szCs w:val="24"/>
                <w:highlight w:val="none"/>
                <w:lang w:val="en-US" w:eastAsia="zh-CN"/>
              </w:rPr>
              <w:t>2025年12月31日</w:t>
            </w:r>
          </w:p>
        </w:tc>
      </w:tr>
    </w:tbl>
    <w:p>
      <w:pPr>
        <w:numPr>
          <w:numId w:val="0"/>
        </w:numPr>
        <w:ind w:left="420" w:leftChars="0"/>
        <w:rPr>
          <w:rFonts w:hint="eastAsia" w:ascii="黑体" w:hAnsi="黑体" w:eastAsia="黑体"/>
          <w:sz w:val="32"/>
          <w:szCs w:val="32"/>
        </w:rPr>
      </w:pPr>
    </w:p>
    <w:p>
      <w:pPr>
        <w:rPr>
          <w:rFonts w:hint="eastAsia" w:ascii="黑体" w:hAnsi="黑体" w:eastAsia="黑体"/>
          <w:sz w:val="32"/>
          <w:szCs w:val="32"/>
          <w:lang w:val="zh-CN" w:eastAsia="zh-CN"/>
        </w:rPr>
      </w:pPr>
      <w:bookmarkStart w:id="1" w:name="_Toc272247708"/>
      <w:bookmarkStart w:id="2" w:name="_Toc278891605"/>
      <w:bookmarkStart w:id="3" w:name="_Toc31654"/>
      <w:bookmarkStart w:id="4" w:name="_Toc494561961"/>
      <w:bookmarkStart w:id="5" w:name="_Toc4566"/>
      <w:bookmarkStart w:id="6" w:name="_Toc12316"/>
      <w:r>
        <w:rPr>
          <w:rFonts w:hint="eastAsia" w:ascii="黑体" w:hAnsi="黑体" w:eastAsia="黑体"/>
          <w:sz w:val="32"/>
          <w:szCs w:val="32"/>
          <w:lang w:val="zh-CN" w:eastAsia="zh-CN"/>
        </w:rPr>
        <w:t>四、评</w:t>
      </w:r>
      <w:bookmarkEnd w:id="1"/>
      <w:bookmarkEnd w:id="2"/>
      <w:r>
        <w:rPr>
          <w:rFonts w:hint="eastAsia" w:ascii="黑体" w:hAnsi="黑体" w:eastAsia="黑体"/>
          <w:sz w:val="32"/>
          <w:szCs w:val="32"/>
          <w:lang w:val="zh-CN" w:eastAsia="zh-CN"/>
        </w:rPr>
        <w:t>审方法</w:t>
      </w:r>
      <w:bookmarkEnd w:id="3"/>
      <w:bookmarkEnd w:id="4"/>
      <w:bookmarkEnd w:id="5"/>
      <w:bookmarkEnd w:id="6"/>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本次征集活动采用“</w:t>
      </w:r>
      <w:r>
        <w:rPr>
          <w:rFonts w:hint="eastAsia" w:ascii="宋体" w:hAnsi="宋体" w:eastAsia="宋体" w:cs="宋体"/>
          <w:b/>
          <w:bCs/>
          <w:sz w:val="28"/>
          <w:szCs w:val="28"/>
          <w:lang w:val="zh-CN" w:eastAsia="zh-CN"/>
        </w:rPr>
        <w:t>价格优先法</w:t>
      </w:r>
      <w:r>
        <w:rPr>
          <w:rFonts w:hint="eastAsia" w:ascii="宋体" w:hAnsi="宋体" w:eastAsia="宋体" w:cs="宋体"/>
          <w:sz w:val="28"/>
          <w:szCs w:val="28"/>
          <w:lang w:val="zh-CN" w:eastAsia="zh-CN"/>
        </w:rPr>
        <w:t>”进行评审，供应商的报价多少决定能否成为入围供应商。（价格优先法：指对满足采购需求且响应报价不超过最高限制单价的货物、服务，按照响应报价从低到高排序，根据征集文件规定的淘汰率或者入围供应商数量上限，确定入围供应商的评审方法。）</w:t>
      </w:r>
    </w:p>
    <w:p>
      <w:pPr>
        <w:keepNext w:val="0"/>
        <w:keepLines w:val="0"/>
        <w:pageBreakBefore w:val="0"/>
        <w:widowControl w:val="0"/>
        <w:numPr>
          <w:ilvl w:val="0"/>
          <w:numId w:val="10"/>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zh-CN" w:eastAsia="zh-CN"/>
        </w:rPr>
      </w:pPr>
      <w:r>
        <w:rPr>
          <w:rFonts w:hint="eastAsia" w:ascii="宋体" w:hAnsi="宋体" w:eastAsia="宋体" w:cs="宋体"/>
          <w:b/>
          <w:bCs/>
          <w:sz w:val="28"/>
          <w:szCs w:val="28"/>
          <w:lang w:val="zh-CN" w:eastAsia="zh-CN"/>
        </w:rPr>
        <w:t>入围供应商的淘汰比例：20%，且至少淘汰一家供应商。</w:t>
      </w:r>
      <w:r>
        <w:rPr>
          <w:rFonts w:hint="eastAsia" w:ascii="宋体" w:hAnsi="宋体" w:eastAsia="宋体" w:cs="宋体"/>
          <w:sz w:val="28"/>
          <w:szCs w:val="28"/>
          <w:lang w:val="zh-CN" w:eastAsia="zh-CN"/>
        </w:rPr>
        <w:t>（提交响应文件和符合资格条件、实质性要求的供应商少于2家时，采购活动终止。）</w:t>
      </w:r>
    </w:p>
    <w:p>
      <w:pPr>
        <w:keepNext w:val="0"/>
        <w:keepLines w:val="0"/>
        <w:pageBreakBefore w:val="0"/>
        <w:widowControl/>
        <w:numPr>
          <w:ilvl w:val="0"/>
          <w:numId w:val="11"/>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若计算的淘汰数非整数，则按照向上取整原则进行处理。即，淘汰数量=向上取整[供应商数量×20%]（示例：如有11家供应商投标，淘汰数量=向上取整[11×20%]=向上取整[2.2]=3,最终实际淘汰3 家供应商）； </w:t>
      </w:r>
    </w:p>
    <w:p>
      <w:pPr>
        <w:keepNext w:val="0"/>
        <w:keepLines w:val="0"/>
        <w:pageBreakBefore w:val="0"/>
        <w:widowControl/>
        <w:numPr>
          <w:ilvl w:val="0"/>
          <w:numId w:val="11"/>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为防止报价趋同导致大量供应商进入淘汰名次（如：项目共计100家投标人参与投标，若70家报价为80％，30家报价为90％，则报价为90％的30家全部淘汰；若70家报价为80％，1家报价为89.99％，29家报价为90％，则报价为90％的29家全部淘汰），请供应商报价至小数点后二位数（如80.25％或95.32％等）。</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t>附件：</w:t>
      </w:r>
      <w:r>
        <w:rPr>
          <w:rFonts w:hint="eastAsia" w:ascii="仿宋" w:hAnsi="仿宋" w:eastAsia="仿宋"/>
          <w:sz w:val="32"/>
          <w:szCs w:val="32"/>
          <w:lang w:val="en-US" w:eastAsia="zh-CN"/>
        </w:rPr>
        <w:object>
          <v:shape id="_x0000_i1026" o:spt="75" type="#_x0000_t75" style="height:66pt;width:72.75pt;" o:ole="t" filled="f" o:preferrelative="t" stroked="f" coordsize="21600,21600">
            <v:fill on="f" focussize="0,0"/>
            <v:stroke on="f"/>
            <v:imagedata r:id="rId6" o:title=""/>
            <o:lock v:ext="edit" aspectratio="t"/>
            <w10:wrap type="none"/>
            <w10:anchorlock/>
          </v:shape>
          <o:OLEObject Type="Embed" ProgID="Word.Document.12" ShapeID="_x0000_i1026" DrawAspect="Icon" ObjectID="_1468075725" r:id="rId5">
            <o:LockedField>false</o:LockedField>
          </o:OLEObject>
        </w:objec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注：有意向参加大冶市2024年度市直行政事业单位物业管理服务封闭式框架协议采购的供应商可加入交流群，后续工作通知，政策发布，业务交流等都将在交流群进行同步通知。</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drawing>
          <wp:inline distT="0" distB="0" distL="114300" distR="114300">
            <wp:extent cx="1917700" cy="3061335"/>
            <wp:effectExtent l="0" t="0" r="0" b="0"/>
            <wp:docPr id="1" name="图片 1" descr="b2684c8ac26b04dff91c077ee97df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2684c8ac26b04dff91c077ee97df7c"/>
                    <pic:cNvPicPr>
                      <a:picLocks noChangeAspect="1"/>
                    </pic:cNvPicPr>
                  </pic:nvPicPr>
                  <pic:blipFill>
                    <a:blip r:embed="rId7"/>
                    <a:srcRect t="10223"/>
                    <a:stretch>
                      <a:fillRect/>
                    </a:stretch>
                  </pic:blipFill>
                  <pic:spPr>
                    <a:xfrm>
                      <a:off x="0" y="0"/>
                      <a:ext cx="1917700" cy="3061335"/>
                    </a:xfrm>
                    <a:prstGeom prst="rect">
                      <a:avLst/>
                    </a:prstGeom>
                  </pic:spPr>
                </pic:pic>
              </a:graphicData>
            </a:graphic>
          </wp:inline>
        </w:drawing>
      </w:r>
    </w:p>
    <w:p>
      <w:pPr>
        <w:widowControl/>
        <w:snapToGrid w:val="0"/>
        <w:spacing w:line="520" w:lineRule="exact"/>
        <w:ind w:firstLine="640" w:firstLineChars="200"/>
        <w:jc w:val="left"/>
        <w:rPr>
          <w:rFonts w:hint="eastAsia" w:ascii="仿宋" w:hAnsi="仿宋" w:eastAsia="仿宋"/>
          <w:bCs/>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汉仪叶叶相思体简">
    <w:altName w:val="思源黑体 Regular"/>
    <w:panose1 w:val="00000000000000000000"/>
    <w:charset w:val="00"/>
    <w:family w:val="auto"/>
    <w:pitch w:val="default"/>
    <w:sig w:usb0="00000000" w:usb1="00000000" w:usb2="00000000" w:usb3="00000000" w:csb0="00040001" w:csb1="00000000"/>
  </w:font>
  <w:font w:name="思源黑体 Regular">
    <w:panose1 w:val="020B0500000000000000"/>
    <w:charset w:val="86"/>
    <w:family w:val="auto"/>
    <w:pitch w:val="default"/>
    <w:sig w:usb0="30000003" w:usb1="2BDF3C10" w:usb2="00000016" w:usb3="00000000" w:csb0="602E0107" w:csb1="00000000"/>
  </w:font>
  <w:font w:name="方正隶书_GBK">
    <w:altName w:val="宋体"/>
    <w:panose1 w:val="02000000000000000000"/>
    <w:charset w:val="86"/>
    <w:family w:val="auto"/>
    <w:pitch w:val="default"/>
    <w:sig w:usb0="00000000" w:usb1="00000000" w:usb2="0000000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4C368"/>
    <w:multiLevelType w:val="singleLevel"/>
    <w:tmpl w:val="A7B4C368"/>
    <w:lvl w:ilvl="0" w:tentative="0">
      <w:start w:val="1"/>
      <w:numFmt w:val="decimal"/>
      <w:lvlText w:val="%1."/>
      <w:lvlJc w:val="left"/>
      <w:pPr>
        <w:ind w:left="425" w:hanging="425"/>
      </w:pPr>
      <w:rPr>
        <w:rFonts w:hint="default"/>
      </w:rPr>
    </w:lvl>
  </w:abstractNum>
  <w:abstractNum w:abstractNumId="1">
    <w:nsid w:val="D46F8368"/>
    <w:multiLevelType w:val="singleLevel"/>
    <w:tmpl w:val="D46F8368"/>
    <w:lvl w:ilvl="0" w:tentative="0">
      <w:start w:val="1"/>
      <w:numFmt w:val="decimal"/>
      <w:suff w:val="space"/>
      <w:lvlText w:val="(%1)"/>
      <w:lvlJc w:val="left"/>
      <w:pPr>
        <w:ind w:left="454" w:leftChars="0" w:hanging="454" w:firstLineChars="0"/>
      </w:pPr>
      <w:rPr>
        <w:rFonts w:hint="default"/>
      </w:rPr>
    </w:lvl>
  </w:abstractNum>
  <w:abstractNum w:abstractNumId="2">
    <w:nsid w:val="FD3335C7"/>
    <w:multiLevelType w:val="singleLevel"/>
    <w:tmpl w:val="FD3335C7"/>
    <w:lvl w:ilvl="0" w:tentative="0">
      <w:start w:val="1"/>
      <w:numFmt w:val="decimal"/>
      <w:suff w:val="space"/>
      <w:lvlText w:val="(%1)"/>
      <w:lvlJc w:val="left"/>
      <w:pPr>
        <w:ind w:left="454" w:leftChars="0" w:hanging="454" w:firstLineChars="0"/>
      </w:pPr>
      <w:rPr>
        <w:rFonts w:hint="default"/>
      </w:rPr>
    </w:lvl>
  </w:abstractNum>
  <w:abstractNum w:abstractNumId="3">
    <w:nsid w:val="1CF25FA1"/>
    <w:multiLevelType w:val="singleLevel"/>
    <w:tmpl w:val="1CF25FA1"/>
    <w:lvl w:ilvl="0" w:tentative="0">
      <w:start w:val="1"/>
      <w:numFmt w:val="decimal"/>
      <w:suff w:val="space"/>
      <w:lvlText w:val="(%1)"/>
      <w:lvlJc w:val="left"/>
      <w:pPr>
        <w:ind w:left="454" w:leftChars="0" w:hanging="454" w:firstLineChars="0"/>
      </w:pPr>
      <w:rPr>
        <w:rFonts w:hint="default"/>
      </w:rPr>
    </w:lvl>
  </w:abstractNum>
  <w:abstractNum w:abstractNumId="4">
    <w:nsid w:val="1FF9A4A8"/>
    <w:multiLevelType w:val="singleLevel"/>
    <w:tmpl w:val="1FF9A4A8"/>
    <w:lvl w:ilvl="0" w:tentative="0">
      <w:start w:val="1"/>
      <w:numFmt w:val="decimal"/>
      <w:suff w:val="space"/>
      <w:lvlText w:val="(%1)"/>
      <w:lvlJc w:val="left"/>
      <w:pPr>
        <w:ind w:left="454" w:leftChars="0" w:hanging="454" w:firstLineChars="0"/>
      </w:pPr>
      <w:rPr>
        <w:rFonts w:hint="default"/>
      </w:rPr>
    </w:lvl>
  </w:abstractNum>
  <w:abstractNum w:abstractNumId="5">
    <w:nsid w:val="219C51A0"/>
    <w:multiLevelType w:val="singleLevel"/>
    <w:tmpl w:val="219C51A0"/>
    <w:lvl w:ilvl="0" w:tentative="0">
      <w:start w:val="1"/>
      <w:numFmt w:val="decimal"/>
      <w:suff w:val="space"/>
      <w:lvlText w:val="(%1)"/>
      <w:lvlJc w:val="left"/>
      <w:pPr>
        <w:ind w:left="454" w:leftChars="0" w:hanging="454" w:firstLineChars="0"/>
      </w:pPr>
      <w:rPr>
        <w:rFonts w:hint="default"/>
      </w:rPr>
    </w:lvl>
  </w:abstractNum>
  <w:abstractNum w:abstractNumId="6">
    <w:nsid w:val="21EA8F8C"/>
    <w:multiLevelType w:val="singleLevel"/>
    <w:tmpl w:val="21EA8F8C"/>
    <w:lvl w:ilvl="0" w:tentative="0">
      <w:start w:val="1"/>
      <w:numFmt w:val="decimal"/>
      <w:lvlText w:val="%1."/>
      <w:lvlJc w:val="left"/>
      <w:pPr>
        <w:ind w:left="425" w:hanging="425"/>
      </w:pPr>
      <w:rPr>
        <w:rFonts w:hint="default"/>
      </w:rPr>
    </w:lvl>
  </w:abstractNum>
  <w:abstractNum w:abstractNumId="7">
    <w:nsid w:val="36D191AC"/>
    <w:multiLevelType w:val="singleLevel"/>
    <w:tmpl w:val="36D191AC"/>
    <w:lvl w:ilvl="0" w:tentative="0">
      <w:start w:val="1"/>
      <w:numFmt w:val="upperLetter"/>
      <w:lvlText w:val="%1."/>
      <w:lvlJc w:val="left"/>
      <w:pPr>
        <w:ind w:left="425" w:hanging="425"/>
      </w:pPr>
      <w:rPr>
        <w:rFonts w:hint="default"/>
      </w:rPr>
    </w:lvl>
  </w:abstractNum>
  <w:abstractNum w:abstractNumId="8">
    <w:nsid w:val="44C25110"/>
    <w:multiLevelType w:val="singleLevel"/>
    <w:tmpl w:val="44C25110"/>
    <w:lvl w:ilvl="0" w:tentative="0">
      <w:start w:val="1"/>
      <w:numFmt w:val="chineseCounting"/>
      <w:suff w:val="nothing"/>
      <w:lvlText w:val="（%1）"/>
      <w:lvlJc w:val="left"/>
      <w:pPr>
        <w:ind w:left="0" w:firstLine="420"/>
      </w:pPr>
      <w:rPr>
        <w:rFonts w:hint="eastAsia" w:ascii="楷体" w:hAnsi="楷体" w:eastAsia="楷体" w:cs="楷体"/>
      </w:rPr>
    </w:lvl>
  </w:abstractNum>
  <w:abstractNum w:abstractNumId="9">
    <w:nsid w:val="642BCB25"/>
    <w:multiLevelType w:val="singleLevel"/>
    <w:tmpl w:val="642BCB25"/>
    <w:lvl w:ilvl="0" w:tentative="0">
      <w:start w:val="1"/>
      <w:numFmt w:val="decimal"/>
      <w:suff w:val="space"/>
      <w:lvlText w:val="%1"/>
      <w:lvlJc w:val="left"/>
      <w:pPr>
        <w:tabs>
          <w:tab w:val="left" w:pos="420"/>
        </w:tabs>
        <w:ind w:left="425" w:hanging="425"/>
      </w:pPr>
      <w:rPr>
        <w:rFonts w:hint="default"/>
        <w:sz w:val="21"/>
        <w:szCs w:val="21"/>
      </w:rPr>
    </w:lvl>
  </w:abstractNum>
  <w:abstractNum w:abstractNumId="10">
    <w:nsid w:val="676EC9EB"/>
    <w:multiLevelType w:val="singleLevel"/>
    <w:tmpl w:val="676EC9EB"/>
    <w:lvl w:ilvl="0" w:tentative="0">
      <w:start w:val="1"/>
      <w:numFmt w:val="chineseCounting"/>
      <w:suff w:val="nothing"/>
      <w:lvlText w:val="（%1）"/>
      <w:lvlJc w:val="left"/>
      <w:pPr>
        <w:ind w:left="0" w:firstLine="420"/>
      </w:pPr>
      <w:rPr>
        <w:rFonts w:hint="eastAsia" w:ascii="仿宋" w:hAnsi="仿宋" w:eastAsia="仿宋" w:cs="仿宋"/>
      </w:rPr>
    </w:lvl>
  </w:abstractNum>
  <w:num w:numId="1">
    <w:abstractNumId w:val="10"/>
  </w:num>
  <w:num w:numId="2">
    <w:abstractNumId w:val="9"/>
  </w:num>
  <w:num w:numId="3">
    <w:abstractNumId w:val="6"/>
  </w:num>
  <w:num w:numId="4">
    <w:abstractNumId w:val="5"/>
  </w:num>
  <w:num w:numId="5">
    <w:abstractNumId w:val="2"/>
  </w:num>
  <w:num w:numId="6">
    <w:abstractNumId w:val="4"/>
  </w:num>
  <w:num w:numId="7">
    <w:abstractNumId w:val="3"/>
  </w:num>
  <w:num w:numId="8">
    <w:abstractNumId w:val="1"/>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MzUxMTIwN2FhMzRmMWQwMjcwZmM5MTM2ZmI2NDQifQ=="/>
  </w:docVars>
  <w:rsids>
    <w:rsidRoot w:val="00000000"/>
    <w:rsid w:val="0B50723E"/>
    <w:rsid w:val="18102849"/>
    <w:rsid w:val="197D06BD"/>
    <w:rsid w:val="1C76287C"/>
    <w:rsid w:val="1FF561AE"/>
    <w:rsid w:val="21CA7725"/>
    <w:rsid w:val="250A3135"/>
    <w:rsid w:val="43BD0E45"/>
    <w:rsid w:val="47ED3A8B"/>
    <w:rsid w:val="6D620248"/>
    <w:rsid w:val="727D4082"/>
    <w:rsid w:val="764150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9"/>
    <w:pPr>
      <w:keepNext/>
      <w:keepLines/>
      <w:spacing w:before="260" w:after="260" w:line="416" w:lineRule="auto"/>
      <w:outlineLvl w:val="1"/>
    </w:pPr>
    <w:rPr>
      <w:rFonts w:ascii="Cambria" w:hAnsi="Cambria"/>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20" w:lineRule="auto"/>
    </w:pPr>
    <w:rPr>
      <w:sz w:val="24"/>
    </w:rPr>
  </w:style>
  <w:style w:type="paragraph" w:styleId="3">
    <w:name w:val="toc 7"/>
    <w:basedOn w:val="1"/>
    <w:next w:val="1"/>
    <w:qFormat/>
    <w:uiPriority w:val="0"/>
    <w:pPr>
      <w:ind w:left="2520" w:leftChars="1200"/>
    </w:pPr>
    <w:rPr>
      <w:rFonts w:ascii="Times New Roman" w:hAnsi="Times New Roman"/>
      <w:sz w:val="28"/>
      <w:szCs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333333"/>
      <w:u w:val="none"/>
    </w:rPr>
  </w:style>
  <w:style w:type="character" w:styleId="12">
    <w:name w:val="Hyperlink"/>
    <w:basedOn w:val="10"/>
    <w:qFormat/>
    <w:uiPriority w:val="0"/>
    <w:rPr>
      <w:color w:val="333333"/>
      <w:u w:val="none"/>
    </w:rPr>
  </w:style>
  <w:style w:type="character" w:customStyle="1" w:styleId="13">
    <w:name w:val="f"/>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DANA</cp:lastModifiedBy>
  <dcterms:modified xsi:type="dcterms:W3CDTF">2023-09-21T09:21:07Z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B6FCFE72F4B349E6AD6FDDF889FC4C7D_12</vt:lpwstr>
  </property>
</Properties>
</file>