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5C" w:rsidRDefault="00D9775C" w:rsidP="001F1D79">
      <w:pPr>
        <w:spacing w:line="360" w:lineRule="auto"/>
        <w:ind w:left="220" w:firstLine="420"/>
        <w:jc w:val="center"/>
        <w:outlineLvl w:val="0"/>
        <w:rPr>
          <w:rFonts w:ascii="方正黑体_GBK" w:eastAsia="方正黑体_GBK" w:hAnsi="方正黑体_GBK" w:cs="方正黑体_GBK"/>
          <w:b/>
          <w:bCs/>
          <w:sz w:val="44"/>
          <w:szCs w:val="44"/>
        </w:rPr>
      </w:pPr>
      <w:bookmarkStart w:id="0" w:name="_Toc1540304625"/>
      <w:r>
        <w:rPr>
          <w:rFonts w:ascii="方正黑体_GBK" w:eastAsia="方正黑体_GBK" w:hAnsi="方正黑体_GBK" w:cs="方正黑体_GBK" w:hint="eastAsia"/>
          <w:b/>
          <w:bCs/>
          <w:sz w:val="44"/>
          <w:szCs w:val="44"/>
        </w:rPr>
        <w:t>车辆加油、添加燃料服务采购需求</w:t>
      </w:r>
    </w:p>
    <w:p w:rsidR="001F1D79" w:rsidRPr="00D9775C" w:rsidRDefault="001F1D79" w:rsidP="001F1D79">
      <w:pPr>
        <w:spacing w:line="360" w:lineRule="auto"/>
        <w:ind w:left="220" w:firstLine="420"/>
        <w:jc w:val="center"/>
        <w:outlineLvl w:val="0"/>
        <w:rPr>
          <w:rFonts w:ascii="方正黑体_GBK" w:eastAsia="方正黑体_GBK" w:hAnsi="方正黑体_GBK" w:cs="方正黑体_GBK"/>
          <w:b/>
          <w:bCs/>
          <w:sz w:val="30"/>
          <w:szCs w:val="30"/>
        </w:rPr>
      </w:pPr>
      <w:r w:rsidRPr="00D9775C">
        <w:rPr>
          <w:rFonts w:ascii="方正黑体_GBK" w:eastAsia="方正黑体_GBK" w:hAnsi="方正黑体_GBK" w:cs="方正黑体_GBK" w:hint="eastAsia"/>
          <w:b/>
          <w:bCs/>
          <w:sz w:val="30"/>
          <w:szCs w:val="30"/>
        </w:rPr>
        <w:t>第三章  项目技术、服务及商务要求</w:t>
      </w:r>
      <w:bookmarkStart w:id="1" w:name="_Toc494561955"/>
      <w:bookmarkStart w:id="2" w:name="_Toc494561952"/>
      <w:bookmarkStart w:id="3" w:name="_Toc495861533"/>
      <w:bookmarkStart w:id="4" w:name="_Toc509501046"/>
      <w:bookmarkStart w:id="5" w:name="_Toc339378679"/>
      <w:bookmarkStart w:id="6" w:name="_Toc338065593"/>
      <w:bookmarkEnd w:id="0"/>
    </w:p>
    <w:p w:rsidR="001F1D79" w:rsidRPr="0047279E" w:rsidRDefault="001F1D79" w:rsidP="001F1D79">
      <w:pPr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47279E">
        <w:rPr>
          <w:rFonts w:asciiTheme="minorEastAsia" w:eastAsiaTheme="minorEastAsia" w:hAnsiTheme="minorEastAsia" w:hint="eastAsia"/>
          <w:b/>
          <w:sz w:val="28"/>
          <w:szCs w:val="28"/>
        </w:rPr>
        <w:t>一、供应商的资格要求</w:t>
      </w:r>
    </w:p>
    <w:p w:rsidR="001F1D79" w:rsidRPr="0047279E" w:rsidRDefault="001F1D79" w:rsidP="001F1D79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7279E">
        <w:rPr>
          <w:rFonts w:asciiTheme="minorEastAsia" w:eastAsiaTheme="minorEastAsia" w:hAnsiTheme="minorEastAsia" w:hint="eastAsia"/>
          <w:sz w:val="28"/>
          <w:szCs w:val="28"/>
        </w:rPr>
        <w:t>1.满足《中华人民共和国政府采购法》第二十二条第一款规定。</w:t>
      </w:r>
    </w:p>
    <w:p w:rsidR="001F1D79" w:rsidRPr="0047279E" w:rsidRDefault="001F1D79" w:rsidP="001F1D79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Pr="0047279E">
        <w:rPr>
          <w:rFonts w:asciiTheme="minorEastAsia" w:eastAsiaTheme="minorEastAsia" w:hAnsiTheme="minorEastAsia" w:cs="宋体"/>
          <w:sz w:val="28"/>
          <w:szCs w:val="28"/>
        </w:rPr>
        <w:t>单位负责人为同一人或者存在直接控股、管理关系的不同</w:t>
      </w: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供应商</w:t>
      </w:r>
      <w:r w:rsidRPr="0047279E">
        <w:rPr>
          <w:rFonts w:asciiTheme="minorEastAsia" w:eastAsiaTheme="minorEastAsia" w:hAnsiTheme="minorEastAsia" w:cs="宋体"/>
          <w:sz w:val="28"/>
          <w:szCs w:val="28"/>
        </w:rPr>
        <w:t>，不得参加本项目同一合同项下的政府采购活动。</w:t>
      </w:r>
    </w:p>
    <w:p w:rsidR="001F1D79" w:rsidRPr="0047279E" w:rsidRDefault="001F1D79" w:rsidP="001F1D79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Pr="0047279E">
        <w:rPr>
          <w:rFonts w:asciiTheme="minorEastAsia" w:eastAsiaTheme="minorEastAsia" w:hAnsiTheme="minorEastAsia" w:cs="宋体"/>
          <w:sz w:val="28"/>
          <w:szCs w:val="28"/>
        </w:rPr>
        <w:t>为本采购项目提供整体设计、规范编制或者项目管理、监理、检测等服务的，不得再参加本项目的其他招标采购活动。</w:t>
      </w:r>
    </w:p>
    <w:p w:rsidR="001F1D79" w:rsidRPr="0047279E" w:rsidRDefault="001F1D79" w:rsidP="001F1D79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Pr="0047279E">
        <w:rPr>
          <w:rFonts w:asciiTheme="minorEastAsia" w:eastAsiaTheme="minorEastAsia" w:hAnsiTheme="minorEastAsia" w:cs="宋体"/>
          <w:sz w:val="28"/>
          <w:szCs w:val="28"/>
        </w:rPr>
        <w:t>未被列入失信被执行人、重大税收违法失信主体，未被列入政府采购严重违法失信行为记录名单。</w:t>
      </w:r>
    </w:p>
    <w:p w:rsidR="001F1D79" w:rsidRPr="0047279E" w:rsidRDefault="001F1D79" w:rsidP="001F1D79">
      <w:pPr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5.落实政府采购政策需满足的资格要求：</w:t>
      </w:r>
      <w:r w:rsidRPr="0047279E">
        <w:rPr>
          <w:rFonts w:asciiTheme="minorEastAsia" w:eastAsiaTheme="minorEastAsia" w:hAnsiTheme="minorEastAsia" w:hint="eastAsia"/>
          <w:sz w:val="28"/>
          <w:szCs w:val="28"/>
        </w:rPr>
        <w:t>本项目</w:t>
      </w:r>
      <w:r>
        <w:rPr>
          <w:rFonts w:asciiTheme="minorEastAsia" w:eastAsiaTheme="minorEastAsia" w:hAnsiTheme="minorEastAsia" w:hint="eastAsia"/>
          <w:sz w:val="28"/>
          <w:szCs w:val="28"/>
        </w:rPr>
        <w:t>非</w:t>
      </w:r>
      <w:r w:rsidRPr="0047279E">
        <w:rPr>
          <w:rFonts w:asciiTheme="minorEastAsia" w:eastAsiaTheme="minorEastAsia" w:hAnsiTheme="minorEastAsia" w:hint="eastAsia"/>
          <w:sz w:val="28"/>
          <w:szCs w:val="28"/>
        </w:rPr>
        <w:t>专门面向中小微企业</w:t>
      </w:r>
    </w:p>
    <w:p w:rsidR="001F1D79" w:rsidRPr="001F1D79" w:rsidRDefault="001F1D79" w:rsidP="001F1D79">
      <w:pPr>
        <w:spacing w:line="360" w:lineRule="auto"/>
        <w:ind w:firstLineChars="200" w:firstLine="560"/>
        <w:rPr>
          <w:rFonts w:eastAsia="宋体"/>
        </w:rPr>
      </w:pPr>
      <w:r w:rsidRPr="0047279E">
        <w:rPr>
          <w:rFonts w:asciiTheme="minorEastAsia" w:eastAsiaTheme="minorEastAsia" w:hAnsiTheme="minorEastAsia" w:cs="宋体" w:hint="eastAsia"/>
          <w:sz w:val="28"/>
          <w:szCs w:val="28"/>
        </w:rPr>
        <w:t>6.本项目的特定资格要求：</w:t>
      </w: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供应商需具有有效期内的《成品油经营许可证》、《危险化学品经营许可证》。</w:t>
      </w:r>
    </w:p>
    <w:p w:rsidR="001F1D79" w:rsidRDefault="001F1D79" w:rsidP="001F1D79">
      <w:pPr>
        <w:pStyle w:val="2"/>
        <w:spacing w:before="0" w:after="0" w:line="360" w:lineRule="auto"/>
        <w:jc w:val="left"/>
        <w:rPr>
          <w:rFonts w:ascii="宋体" w:eastAsia="宋体" w:hAnsi="宋体" w:cs="宋体"/>
          <w:bCs w:val="0"/>
          <w:sz w:val="28"/>
          <w:szCs w:val="28"/>
          <w:lang w:val="zh-CN"/>
        </w:rPr>
      </w:pPr>
      <w:bookmarkStart w:id="7" w:name="二、服务内容和服务要求"/>
      <w:bookmarkStart w:id="8" w:name="_Toc510531091"/>
      <w:bookmarkStart w:id="9" w:name="_Toc509501048"/>
      <w:bookmarkStart w:id="10" w:name="_Toc510530800"/>
      <w:bookmarkStart w:id="11" w:name="_Toc510531530"/>
      <w:bookmarkStart w:id="12" w:name="_Toc510531001"/>
      <w:bookmarkStart w:id="13" w:name="_Toc510530943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宋体" w:eastAsia="宋体" w:hAnsi="宋体" w:cs="宋体" w:hint="eastAsia"/>
          <w:bCs w:val="0"/>
          <w:sz w:val="28"/>
          <w:szCs w:val="28"/>
          <w:lang w:val="zh-CN"/>
        </w:rPr>
        <w:t>二、服务内容</w:t>
      </w:r>
    </w:p>
    <w:p w:rsidR="001F1D79" w:rsidRDefault="001F1D79" w:rsidP="001F1D79">
      <w:pPr>
        <w:pStyle w:val="01-2"/>
        <w:tabs>
          <w:tab w:val="left" w:pos="312"/>
        </w:tabs>
        <w:spacing w:beforeLines="0" w:afterLines="0"/>
        <w:ind w:firstLine="560"/>
        <w:rPr>
          <w:rFonts w:ascii="宋体" w:hAnsi="宋体" w:cs="宋体"/>
          <w:color w:val="auto"/>
          <w:sz w:val="28"/>
          <w:szCs w:val="28"/>
        </w:rPr>
      </w:pPr>
      <w:r>
        <w:rPr>
          <w:rFonts w:ascii="宋体" w:hAnsi="宋体" w:cs="Times New Roman" w:hint="eastAsia"/>
          <w:color w:val="0C0C0C"/>
          <w:sz w:val="28"/>
          <w:szCs w:val="28"/>
        </w:rPr>
        <w:t>C23120302</w:t>
      </w:r>
      <w:r>
        <w:rPr>
          <w:rFonts w:ascii="宋体" w:hAnsi="宋体" w:cs="宋体" w:hint="eastAsia"/>
          <w:color w:val="auto"/>
          <w:sz w:val="28"/>
          <w:szCs w:val="28"/>
        </w:rPr>
        <w:t>车辆加油、添加燃料服务，包括载货汽车、汽车挂车、乘用车等车辆的加油、充电、添加LNG、CNG、氢能等服务。</w:t>
      </w:r>
    </w:p>
    <w:p w:rsidR="001F1D79" w:rsidRDefault="001F1D79" w:rsidP="001F1D79">
      <w:pPr>
        <w:widowControl w:val="0"/>
        <w:adjustRightInd/>
        <w:snapToGrid/>
        <w:spacing w:line="360" w:lineRule="auto"/>
        <w:ind w:firstLineChars="250" w:firstLine="700"/>
        <w:rPr>
          <w:rFonts w:ascii="宋体" w:eastAsia="宋体" w:hAnsi="宋体" w:cs="宋体"/>
          <w:kern w:val="2"/>
          <w:sz w:val="28"/>
          <w:szCs w:val="28"/>
        </w:rPr>
      </w:pPr>
      <w:r>
        <w:rPr>
          <w:rFonts w:ascii="宋体" w:eastAsia="宋体" w:hAnsi="宋体" w:cs="Times New Roman" w:hint="eastAsia"/>
          <w:color w:val="0C0C0C"/>
          <w:kern w:val="2"/>
          <w:sz w:val="28"/>
          <w:szCs w:val="28"/>
        </w:rPr>
        <w:t>行业划型：按照《关于印发中小企业划型标准规定的通知》（工信部联企业〔2011〕300号）的标准，本项目标的属于“零售业”行业。</w:t>
      </w:r>
    </w:p>
    <w:p w:rsidR="001F1D79" w:rsidRDefault="001F1D79" w:rsidP="001F1D79">
      <w:pPr>
        <w:pStyle w:val="2"/>
        <w:numPr>
          <w:ilvl w:val="0"/>
          <w:numId w:val="5"/>
        </w:numPr>
        <w:spacing w:before="0" w:after="0" w:line="360" w:lineRule="auto"/>
        <w:jc w:val="left"/>
        <w:rPr>
          <w:rFonts w:ascii="宋体" w:eastAsia="宋体" w:hAnsi="宋体" w:cs="宋体"/>
          <w:bCs w:val="0"/>
          <w:sz w:val="28"/>
          <w:szCs w:val="28"/>
          <w:lang w:val="zh-CN"/>
        </w:rPr>
      </w:pPr>
      <w:bookmarkStart w:id="14" w:name="_Toc16425"/>
      <w:bookmarkStart w:id="15" w:name="_Toc26188"/>
      <w:r>
        <w:rPr>
          <w:rFonts w:ascii="宋体" w:eastAsia="宋体" w:hAnsi="宋体" w:cs="宋体" w:hint="eastAsia"/>
          <w:bCs w:val="0"/>
          <w:sz w:val="28"/>
          <w:szCs w:val="28"/>
          <w:lang w:val="zh-CN"/>
        </w:rPr>
        <w:lastRenderedPageBreak/>
        <w:t>技术、服务要求</w:t>
      </w:r>
      <w:bookmarkEnd w:id="14"/>
      <w:bookmarkEnd w:id="15"/>
    </w:p>
    <w:p w:rsidR="001F1D79" w:rsidRDefault="001F1D79" w:rsidP="001F1D79">
      <w:pPr>
        <w:pStyle w:val="01-2"/>
        <w:numPr>
          <w:ilvl w:val="0"/>
          <w:numId w:val="2"/>
        </w:numPr>
        <w:tabs>
          <w:tab w:val="left" w:pos="312"/>
        </w:tabs>
        <w:spacing w:beforeLines="0" w:afterLines="0"/>
        <w:ind w:firstLine="56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油品质量：符合国家相关标准（车用乙醇汽油应符合（国VI）GB18351-2017、车用柴油（国VI）应符合GB19147-2016）的质量要求，供应商所经销油品必须从国家正规炼油厂、国有石油公司采购，保证油品的质量。（提供相关证明材料）</w:t>
      </w:r>
    </w:p>
    <w:p w:rsidR="001F1D79" w:rsidRDefault="001F1D79" w:rsidP="001F1D79">
      <w:pPr>
        <w:pStyle w:val="01-2"/>
        <w:numPr>
          <w:ilvl w:val="0"/>
          <w:numId w:val="2"/>
        </w:numPr>
        <w:tabs>
          <w:tab w:val="left" w:pos="312"/>
        </w:tabs>
        <w:spacing w:beforeLines="0" w:afterLines="0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供应商应保证使用IC卡或电子油卡加油，并能全省通用。（提供相关证明材料）</w:t>
      </w:r>
    </w:p>
    <w:p w:rsidR="001F1D79" w:rsidRDefault="001F1D79" w:rsidP="001F1D79">
      <w:pPr>
        <w:pStyle w:val="01-2"/>
        <w:numPr>
          <w:ilvl w:val="0"/>
          <w:numId w:val="2"/>
        </w:numPr>
        <w:tabs>
          <w:tab w:val="left" w:pos="312"/>
        </w:tabs>
        <w:spacing w:beforeLines="0" w:afterLines="0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加油站员工基本要求：上岗着装统一，穿戴规范，需穿防静电工作鞋；加油卡加油前向顾客提示卡内余额，对车号卡核实信息；现场为顾客提供加油指导，疏导车辆，维持秩序；提醒顾客严禁烟火，禁用手机，车辆熄火加油等安全事项。</w:t>
      </w:r>
      <w:r>
        <w:rPr>
          <w:rFonts w:ascii="宋体" w:hAnsi="宋体" w:cs="宋体" w:hint="eastAsia"/>
          <w:bCs/>
          <w:sz w:val="28"/>
          <w:szCs w:val="28"/>
        </w:rPr>
        <w:t>（提供相关证明材料）</w:t>
      </w:r>
    </w:p>
    <w:p w:rsidR="001F1D79" w:rsidRDefault="001F1D79" w:rsidP="001F1D79">
      <w:pPr>
        <w:pStyle w:val="01-2"/>
        <w:numPr>
          <w:ilvl w:val="0"/>
          <w:numId w:val="2"/>
        </w:numPr>
        <w:tabs>
          <w:tab w:val="left" w:pos="312"/>
        </w:tabs>
        <w:spacing w:beforeLines="0" w:afterLines="0"/>
        <w:ind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增值服务：能提供一次性加油固定金额的（含汽、柴油）站点有优惠政策或增值服务。（提供具体优惠方案）</w:t>
      </w:r>
    </w:p>
    <w:p w:rsidR="001F1D79" w:rsidRDefault="001F1D79" w:rsidP="001F1D79">
      <w:pPr>
        <w:pStyle w:val="2"/>
        <w:numPr>
          <w:ilvl w:val="0"/>
          <w:numId w:val="5"/>
        </w:numPr>
        <w:spacing w:before="0" w:after="0" w:line="360" w:lineRule="auto"/>
        <w:jc w:val="left"/>
        <w:rPr>
          <w:rFonts w:ascii="宋体" w:eastAsia="宋体" w:hAnsi="宋体" w:cs="宋体"/>
          <w:bCs w:val="0"/>
          <w:sz w:val="28"/>
          <w:szCs w:val="28"/>
          <w:lang w:val="zh-CN"/>
        </w:rPr>
      </w:pPr>
      <w:bookmarkStart w:id="16" w:name="_Toc17383"/>
      <w:r>
        <w:rPr>
          <w:rFonts w:ascii="宋体" w:eastAsia="宋体" w:hAnsi="宋体" w:cs="宋体" w:hint="eastAsia"/>
          <w:bCs w:val="0"/>
          <w:sz w:val="28"/>
          <w:szCs w:val="28"/>
        </w:rPr>
        <w:t>商务要求</w:t>
      </w:r>
      <w:bookmarkEnd w:id="16"/>
    </w:p>
    <w:p w:rsid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color w:val="0C0C0C"/>
          <w:kern w:val="2"/>
          <w:sz w:val="28"/>
          <w:szCs w:val="28"/>
        </w:rPr>
      </w:pPr>
      <w:bookmarkStart w:id="17" w:name="_Toc15506"/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响应报价要求</w:t>
      </w:r>
      <w:bookmarkEnd w:id="17"/>
    </w:p>
    <w:p w:rsidR="001F1D79" w:rsidRDefault="001F1D79" w:rsidP="001F1D79">
      <w:pPr>
        <w:widowControl w:val="0"/>
        <w:adjustRightInd/>
        <w:snapToGrid/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项目以折扣形式报价。供应商在经批准执行的现行零售挂牌价格基础上折扣（单位：%），按照实际消费金额*折扣进行扣款。各单位持卡在所属加油站消费时，根据消费金额*折扣计算实收金额，即加油金额为100元时，实扣金额为100*折扣。</w:t>
      </w:r>
    </w:p>
    <w:p w:rsid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color w:val="0C0C0C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合同履行期限：自封闭式框架协议签订之日起至2025年12月31日。</w:t>
      </w:r>
    </w:p>
    <w:p w:rsid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color w:val="0C0C0C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供应商入围后需入驻大冶市政府采购电子商城。</w:t>
      </w:r>
    </w:p>
    <w:p w:rsidR="001F1D79" w:rsidRP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经营场所：</w:t>
      </w:r>
      <w:r w:rsidRPr="001F1D79">
        <w:rPr>
          <w:rFonts w:ascii="宋体" w:eastAsia="宋体" w:hAnsi="宋体" w:cs="宋体" w:hint="eastAsia"/>
          <w:sz w:val="28"/>
          <w:szCs w:val="28"/>
        </w:rPr>
        <w:t>方便快捷的加油环境。</w:t>
      </w:r>
    </w:p>
    <w:p w:rsid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color w:val="0C0C0C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lastRenderedPageBreak/>
        <w:t>洗车设备：配有自动洗车设备。</w:t>
      </w:r>
    </w:p>
    <w:p w:rsidR="001F1D79" w:rsidRDefault="001F1D79" w:rsidP="001F1D79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 w:hint="eastAsia"/>
          <w:color w:val="0C0C0C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严格依据征集文件要求和响应文件的承诺，向市直各级单位提供服务。不实行任何形式的区域限制，提出任何附加条款。全面履行响应承诺，圆满完成市直各级单位的相关服务工作，确保质量，提供快捷、方便、满意的服务。（提供完整的实施方案）</w:t>
      </w:r>
    </w:p>
    <w:p w:rsidR="00235D6E" w:rsidRDefault="00235D6E" w:rsidP="00235D6E">
      <w:pPr>
        <w:pStyle w:val="a5"/>
        <w:numPr>
          <w:ilvl w:val="0"/>
          <w:numId w:val="3"/>
        </w:numPr>
        <w:tabs>
          <w:tab w:val="left" w:pos="1130"/>
        </w:tabs>
        <w:autoSpaceDE w:val="0"/>
        <w:autoSpaceDN w:val="0"/>
        <w:spacing w:line="360" w:lineRule="auto"/>
        <w:ind w:firstLine="560"/>
        <w:outlineLvl w:val="2"/>
        <w:rPr>
          <w:rFonts w:ascii="宋体" w:eastAsia="宋体" w:hAnsi="宋体" w:cs="宋体"/>
          <w:color w:val="0C0C0C"/>
          <w:kern w:val="2"/>
          <w:sz w:val="28"/>
          <w:szCs w:val="28"/>
        </w:rPr>
      </w:pPr>
      <w:r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根据质量评分标准从高到低排序，</w:t>
      </w:r>
      <w:r w:rsidRPr="00235D6E">
        <w:rPr>
          <w:rFonts w:ascii="宋体" w:eastAsia="宋体" w:hAnsi="宋体" w:cs="宋体" w:hint="eastAsia"/>
          <w:color w:val="0C0C0C"/>
          <w:kern w:val="2"/>
          <w:sz w:val="28"/>
          <w:szCs w:val="28"/>
        </w:rPr>
        <w:t>入围供应商的淘汰比例：20%，且至少淘汰一家供应商（提交响应文件和符合资格条件、实质性要求的供应商少于 2 家时，采购活动终止）。</w:t>
      </w:r>
    </w:p>
    <w:p w:rsidR="001F1D79" w:rsidRDefault="001F1D79" w:rsidP="001F1D79">
      <w:pPr>
        <w:pStyle w:val="7"/>
        <w:ind w:left="0"/>
      </w:pPr>
    </w:p>
    <w:p w:rsidR="001F1D79" w:rsidRDefault="001F1D79" w:rsidP="001F1D79">
      <w:pPr>
        <w:pStyle w:val="2"/>
        <w:numPr>
          <w:ilvl w:val="0"/>
          <w:numId w:val="5"/>
        </w:numPr>
        <w:spacing w:before="0" w:after="0" w:line="360" w:lineRule="auto"/>
        <w:ind w:left="616" w:hanging="616"/>
        <w:jc w:val="left"/>
        <w:rPr>
          <w:rFonts w:ascii="宋体" w:eastAsia="宋体" w:hAnsi="宋体" w:cs="宋体"/>
          <w:bCs w:val="0"/>
          <w:sz w:val="28"/>
          <w:szCs w:val="28"/>
        </w:rPr>
      </w:pPr>
      <w:r>
        <w:rPr>
          <w:rFonts w:ascii="宋体" w:eastAsia="宋体" w:hAnsi="宋体" w:cs="宋体" w:hint="eastAsia"/>
          <w:bCs w:val="0"/>
          <w:sz w:val="28"/>
          <w:szCs w:val="28"/>
        </w:rPr>
        <w:t>评分标准</w:t>
      </w:r>
    </w:p>
    <w:p w:rsidR="001F1D79" w:rsidRDefault="001F1D79" w:rsidP="001F1D79">
      <w:pPr>
        <w:pStyle w:val="7"/>
        <w:ind w:left="0"/>
      </w:pPr>
    </w:p>
    <w:tbl>
      <w:tblPr>
        <w:tblW w:w="9013" w:type="dxa"/>
        <w:tblInd w:w="93" w:type="dxa"/>
        <w:tblLayout w:type="fixed"/>
        <w:tblLook w:val="0000"/>
      </w:tblPr>
      <w:tblGrid>
        <w:gridCol w:w="1187"/>
        <w:gridCol w:w="1376"/>
        <w:gridCol w:w="5430"/>
        <w:gridCol w:w="1020"/>
      </w:tblGrid>
      <w:tr w:rsidR="001F1D79" w:rsidTr="00980667">
        <w:trPr>
          <w:trHeight w:val="36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评分要素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评分标准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adjustRightInd/>
              <w:snapToGrid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分值</w:t>
            </w:r>
          </w:p>
        </w:tc>
      </w:tr>
      <w:tr w:rsidR="001F1D79" w:rsidTr="00980667">
        <w:trPr>
          <w:trHeight w:val="10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基本要求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提供载货汽车、汽车挂车、乘用车等车辆的加油（4分）、充电（3分）、添加LNG、CNG、氢能等服务（3分）。（提供相关证明材料）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425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油品质量要求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符合国家相关标准（车用乙醇汽油应符合（国VI）GB18351-2017、车用柴油（国VI）应符合GB19147-2016）的质量要求，保证油品的质量。相关资料齐全的得10分，只提供其中一种证明的得5分，未提供的不得分。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108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基本要求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供应商应保证使用IC卡（3分）或电子油卡加油（3分），并能全省通用（4分）。（提供相关证明材料）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312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员工基本要求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1F1D79">
            <w:pPr>
              <w:numPr>
                <w:ilvl w:val="0"/>
                <w:numId w:val="4"/>
              </w:numPr>
              <w:tabs>
                <w:tab w:val="left" w:pos="312"/>
              </w:tabs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加油站员工上岗着装统一，穿戴规范，穿防静电工作鞋的得3分；2.加油卡加油前向顾客提示卡内余额，对车号卡核实信息的得2分；3.加油站员工现场为顾客提供加油指导，疏导车辆，维持秩序的得3分；4提醒顾客严禁烟火，禁用手机，车辆熄火加油等安全事项的得2分。</w:t>
            </w:r>
          </w:p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1818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5.</w:t>
            </w:r>
            <w:r w:rsidR="001F1D79">
              <w:rPr>
                <w:rFonts w:ascii="宋体" w:eastAsia="宋体" w:hAnsi="宋体" w:cs="宋体" w:hint="eastAsia"/>
                <w:sz w:val="28"/>
                <w:szCs w:val="28"/>
              </w:rPr>
              <w:t>增值服务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能提供一次性加油固定金额的（含汽、柴油）站点有优惠政策或增值服务的每提供一个站点得1分，最高10分，没有的不得分。（提供具体优惠方案）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101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6.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基本要求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供应商所经销油品必须从国家正规炼油厂、国有石油公司采购（提供相关证明材料）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5分</w:t>
            </w:r>
          </w:p>
        </w:tc>
      </w:tr>
      <w:tr w:rsidR="001F1D79" w:rsidTr="00980667">
        <w:trPr>
          <w:trHeight w:val="101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7.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基本要求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1.加油站能同时给8台车加油的得6分；同时给6台车加油的得4分；同时给4台车加油的得2分，同时加油不足4台车的不得分。（提供相关证明材料）</w:t>
            </w:r>
          </w:p>
          <w:p w:rsidR="001F1D79" w:rsidRDefault="001F1D79" w:rsidP="00980667">
            <w:pPr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2.省内设有连锁加油网点得3分，全国设有连锁加油网点得6分（提供相关证明材料）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12分</w:t>
            </w:r>
          </w:p>
        </w:tc>
      </w:tr>
      <w:tr w:rsidR="001F1D79" w:rsidTr="00980667">
        <w:trPr>
          <w:trHeight w:val="10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洗车设备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D79" w:rsidRDefault="001F1D79" w:rsidP="00980667">
            <w:pPr>
              <w:pStyle w:val="a5"/>
              <w:tabs>
                <w:tab w:val="left" w:pos="1130"/>
              </w:tabs>
              <w:autoSpaceDE w:val="0"/>
              <w:autoSpaceDN w:val="0"/>
              <w:spacing w:line="360" w:lineRule="auto"/>
              <w:ind w:firstLineChars="0" w:firstLine="0"/>
              <w:outlineLvl w:val="2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C0C0C"/>
                <w:kern w:val="2"/>
                <w:sz w:val="28"/>
                <w:szCs w:val="28"/>
              </w:rPr>
              <w:t>加油站有自动洗车设备，每提供1个站点1分，8分为满分。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8分</w:t>
            </w:r>
          </w:p>
        </w:tc>
      </w:tr>
      <w:tr w:rsidR="001F1D79" w:rsidTr="00980667">
        <w:trPr>
          <w:trHeight w:val="10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9.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商务要求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D79" w:rsidRDefault="001F1D79" w:rsidP="00980667">
            <w:pPr>
              <w:pStyle w:val="a5"/>
              <w:tabs>
                <w:tab w:val="left" w:pos="1130"/>
              </w:tabs>
              <w:autoSpaceDE w:val="0"/>
              <w:autoSpaceDN w:val="0"/>
              <w:spacing w:line="360" w:lineRule="auto"/>
              <w:ind w:firstLineChars="0" w:firstLine="0"/>
              <w:outlineLvl w:val="2"/>
              <w:rPr>
                <w:rFonts w:ascii="宋体" w:eastAsia="宋体" w:hAnsi="宋体" w:cs="宋体"/>
                <w:color w:val="0C0C0C"/>
                <w:kern w:val="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C0C0C"/>
                <w:kern w:val="2"/>
                <w:sz w:val="28"/>
                <w:szCs w:val="28"/>
              </w:rPr>
              <w:t>所承诺的优惠条件：在全国范围适用的得5分，在本省范围内适用的得3分；所承诺加油站点每升优惠幅度：提供每升优惠幅度（积分）最多的为第1名，得5分；第2名得3分;第3名得2分。优惠幅度提供加油每升为标准（提供相应的承诺函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10分</w:t>
            </w:r>
          </w:p>
        </w:tc>
      </w:tr>
      <w:tr w:rsidR="001F1D79" w:rsidTr="00980667">
        <w:trPr>
          <w:trHeight w:val="2485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lastRenderedPageBreak/>
              <w:t>质量分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D550D7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10.</w:t>
            </w:r>
            <w:r w:rsidR="001F1D7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商务要求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adjustRightInd/>
              <w:snapToGrid/>
              <w:spacing w:line="360" w:lineRule="auto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严格依据征集文件要求和响应文件的承诺，向市直各级单位提供服务。不实行任何形式的区域限制，提出任何附加条款。全面履行响应承诺，圆满完成市直各级单位的相关服务工作，确保质量，提供快捷、方便、满意的服务。服务实施方案非常完整、合理的得15分，服务实施方案比较完整、合理的得10分，服务实施方案基本完整、合理的得5分，</w:t>
            </w:r>
            <w:r>
              <w:rPr>
                <w:rFonts w:ascii="宋体" w:eastAsia="宋体" w:hAnsi="宋体" w:cs="宋体" w:hint="eastAsia"/>
                <w:color w:val="0C0C0C"/>
                <w:kern w:val="2"/>
                <w:sz w:val="28"/>
                <w:szCs w:val="28"/>
              </w:rPr>
              <w:t>（提供完整的实施方案）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15分</w:t>
            </w:r>
          </w:p>
        </w:tc>
      </w:tr>
      <w:tr w:rsidR="001F1D79" w:rsidTr="00980667">
        <w:trPr>
          <w:trHeight w:val="570"/>
        </w:trPr>
        <w:tc>
          <w:tcPr>
            <w:tcW w:w="7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D79" w:rsidRDefault="001F1D79" w:rsidP="00980667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100分</w:t>
            </w:r>
          </w:p>
        </w:tc>
      </w:tr>
      <w:bookmarkEnd w:id="8"/>
      <w:bookmarkEnd w:id="9"/>
      <w:bookmarkEnd w:id="10"/>
      <w:bookmarkEnd w:id="11"/>
      <w:bookmarkEnd w:id="12"/>
      <w:bookmarkEnd w:id="13"/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77A" w:rsidRDefault="00FE777A" w:rsidP="001F1D79">
      <w:pPr>
        <w:spacing w:after="0"/>
      </w:pPr>
      <w:r>
        <w:separator/>
      </w:r>
    </w:p>
  </w:endnote>
  <w:endnote w:type="continuationSeparator" w:id="0">
    <w:p w:rsidR="00FE777A" w:rsidRDefault="00FE777A" w:rsidP="001F1D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77A" w:rsidRDefault="00FE777A" w:rsidP="001F1D79">
      <w:pPr>
        <w:spacing w:after="0"/>
      </w:pPr>
      <w:r>
        <w:separator/>
      </w:r>
    </w:p>
  </w:footnote>
  <w:footnote w:type="continuationSeparator" w:id="0">
    <w:p w:rsidR="00FE777A" w:rsidRDefault="00FE777A" w:rsidP="001F1D7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DAAF43"/>
    <w:multiLevelType w:val="singleLevel"/>
    <w:tmpl w:val="9BDAAF4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BFE776E8"/>
    <w:multiLevelType w:val="singleLevel"/>
    <w:tmpl w:val="BFE776E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F92D7BB5"/>
    <w:multiLevelType w:val="singleLevel"/>
    <w:tmpl w:val="F92D7BB5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336853BA"/>
    <w:multiLevelType w:val="multilevel"/>
    <w:tmpl w:val="336853BA"/>
    <w:lvl w:ilvl="0">
      <w:start w:val="1"/>
      <w:numFmt w:val="chineseCountingThousand"/>
      <w:lvlText w:val="%1、"/>
      <w:lvlJc w:val="left"/>
      <w:pPr>
        <w:ind w:left="420" w:hanging="420"/>
      </w:pPr>
      <w:rPr>
        <w:rFonts w:hint="eastAsia"/>
        <w:sz w:val="30"/>
        <w:szCs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813C4B"/>
    <w:multiLevelType w:val="hybridMultilevel"/>
    <w:tmpl w:val="283A8126"/>
    <w:lvl w:ilvl="0" w:tplc="AF9C6DE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F1D79"/>
    <w:rsid w:val="00235D6E"/>
    <w:rsid w:val="00323B43"/>
    <w:rsid w:val="003D37D8"/>
    <w:rsid w:val="00426133"/>
    <w:rsid w:val="004358AB"/>
    <w:rsid w:val="006E59B3"/>
    <w:rsid w:val="00897B7F"/>
    <w:rsid w:val="008B7726"/>
    <w:rsid w:val="00C61247"/>
    <w:rsid w:val="00D31D50"/>
    <w:rsid w:val="00D550D7"/>
    <w:rsid w:val="00D9775C"/>
    <w:rsid w:val="00FD41DA"/>
    <w:rsid w:val="00FE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next w:val="a"/>
    <w:link w:val="2Char"/>
    <w:uiPriority w:val="9"/>
    <w:qFormat/>
    <w:rsid w:val="001F1D79"/>
    <w:pPr>
      <w:keepNext/>
      <w:keepLines/>
      <w:widowControl w:val="0"/>
      <w:adjustRightInd/>
      <w:snapToGrid/>
      <w:spacing w:before="260" w:after="260" w:line="413" w:lineRule="auto"/>
      <w:jc w:val="both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1D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1D7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1D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1D79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1F1D79"/>
    <w:rPr>
      <w:rFonts w:ascii="Arial" w:eastAsia="黑体" w:hAnsi="Arial" w:cs="Times New Roman"/>
      <w:b/>
      <w:bCs/>
      <w:sz w:val="32"/>
      <w:szCs w:val="32"/>
    </w:rPr>
  </w:style>
  <w:style w:type="paragraph" w:styleId="7">
    <w:name w:val="toc 7"/>
    <w:basedOn w:val="a"/>
    <w:next w:val="a"/>
    <w:rsid w:val="001F1D79"/>
    <w:pPr>
      <w:widowControl w:val="0"/>
      <w:adjustRightInd/>
      <w:snapToGrid/>
      <w:spacing w:after="0"/>
      <w:ind w:left="1680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列出段落 Char"/>
    <w:link w:val="a5"/>
    <w:uiPriority w:val="34"/>
    <w:qFormat/>
    <w:rsid w:val="001F1D79"/>
    <w:rPr>
      <w:rFonts w:ascii="Calibri" w:hAnsi="Calibri"/>
    </w:rPr>
  </w:style>
  <w:style w:type="paragraph" w:styleId="a5">
    <w:name w:val="List Paragraph"/>
    <w:basedOn w:val="a"/>
    <w:link w:val="Char1"/>
    <w:uiPriority w:val="34"/>
    <w:qFormat/>
    <w:rsid w:val="001F1D79"/>
    <w:pPr>
      <w:widowControl w:val="0"/>
      <w:adjustRightInd/>
      <w:snapToGrid/>
      <w:spacing w:after="0"/>
      <w:ind w:firstLineChars="200" w:firstLine="420"/>
      <w:jc w:val="both"/>
    </w:pPr>
    <w:rPr>
      <w:rFonts w:ascii="Calibri" w:hAnsi="Calibri"/>
    </w:rPr>
  </w:style>
  <w:style w:type="paragraph" w:customStyle="1" w:styleId="01-2">
    <w:name w:val="01 正文-首行缩进2字符"/>
    <w:basedOn w:val="a"/>
    <w:qFormat/>
    <w:rsid w:val="001F1D79"/>
    <w:pPr>
      <w:widowControl w:val="0"/>
      <w:adjustRightInd/>
      <w:snapToGrid/>
      <w:spacing w:beforeLines="50" w:afterLines="50" w:line="360" w:lineRule="auto"/>
      <w:ind w:firstLineChars="200" w:firstLine="200"/>
      <w:jc w:val="both"/>
    </w:pPr>
    <w:rPr>
      <w:rFonts w:ascii="Arial" w:eastAsia="宋体" w:hAnsi="Arial" w:cs="黑体"/>
      <w:color w:val="000000"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NTKO</cp:lastModifiedBy>
  <cp:revision>6</cp:revision>
  <dcterms:created xsi:type="dcterms:W3CDTF">2008-09-11T17:20:00Z</dcterms:created>
  <dcterms:modified xsi:type="dcterms:W3CDTF">2023-09-21T04:29:00Z</dcterms:modified>
</cp:coreProperties>
</file>