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仿宋" w:eastAsia="方正小标宋_GBK"/>
          <w:sz w:val="44"/>
          <w:szCs w:val="44"/>
        </w:rPr>
      </w:pPr>
      <w:r>
        <w:rPr>
          <w:rFonts w:hint="eastAsia" w:ascii="微软雅黑" w:hAnsi="微软雅黑" w:eastAsia="微软雅黑" w:cs="微软雅黑"/>
          <w:b/>
          <w:bCs/>
          <w:sz w:val="36"/>
          <w:szCs w:val="36"/>
        </w:rPr>
        <w:t>大冶市2024年度市直行政事业单位</w:t>
      </w:r>
      <w:r>
        <w:rPr>
          <w:rFonts w:hint="eastAsia" w:ascii="微软雅黑" w:hAnsi="微软雅黑" w:eastAsia="微软雅黑" w:cs="微软雅黑"/>
          <w:b/>
          <w:bCs/>
          <w:sz w:val="36"/>
          <w:szCs w:val="36"/>
          <w:lang w:eastAsia="zh-CN"/>
        </w:rPr>
        <w:t>审计</w:t>
      </w:r>
      <w:r>
        <w:rPr>
          <w:rFonts w:hint="eastAsia" w:ascii="微软雅黑" w:hAnsi="微软雅黑" w:eastAsia="微软雅黑" w:cs="微软雅黑"/>
          <w:b/>
          <w:bCs/>
          <w:sz w:val="36"/>
          <w:szCs w:val="36"/>
        </w:rPr>
        <w:t>服务封闭式框架协议采购</w:t>
      </w:r>
      <w:r>
        <w:rPr>
          <w:rFonts w:hint="eastAsia" w:ascii="微软雅黑" w:hAnsi="微软雅黑" w:eastAsia="微软雅黑" w:cs="微软雅黑"/>
          <w:b/>
          <w:bCs/>
          <w:sz w:val="36"/>
          <w:szCs w:val="36"/>
          <w:lang w:eastAsia="zh-CN"/>
        </w:rPr>
        <w:t>需求</w:t>
      </w:r>
    </w:p>
    <w:p>
      <w:pPr>
        <w:snapToGrid w:val="0"/>
        <w:spacing w:line="700" w:lineRule="exact"/>
        <w:jc w:val="center"/>
        <w:rPr>
          <w:rFonts w:ascii="华文楷体" w:hAnsi="华文楷体" w:eastAsia="华文楷体" w:cs="方正小标宋简体"/>
          <w:bCs/>
          <w:sz w:val="32"/>
          <w:szCs w:val="32"/>
        </w:rPr>
      </w:pPr>
      <w:r>
        <w:rPr>
          <w:rFonts w:hint="eastAsia" w:ascii="华文楷体" w:hAnsi="华文楷体" w:eastAsia="华文楷体" w:cs="方正小标宋简体"/>
          <w:bCs/>
          <w:sz w:val="32"/>
          <w:szCs w:val="32"/>
        </w:rPr>
        <w:t>（征求意见稿）</w:t>
      </w:r>
    </w:p>
    <w:p>
      <w:pPr>
        <w:numPr>
          <w:ilvl w:val="0"/>
          <w:numId w:val="1"/>
        </w:numPr>
        <w:ind w:left="0" w:leftChars="0" w:firstLine="220" w:firstLineChars="0"/>
        <w:rPr>
          <w:rFonts w:ascii="黑体" w:hAnsi="黑体" w:eastAsia="黑体"/>
          <w:sz w:val="32"/>
          <w:szCs w:val="32"/>
        </w:rPr>
      </w:pPr>
      <w:r>
        <w:rPr>
          <w:rFonts w:hint="eastAsia" w:ascii="黑体" w:hAnsi="黑体" w:eastAsia="黑体"/>
          <w:sz w:val="32"/>
          <w:szCs w:val="32"/>
        </w:rPr>
        <w:t>供应商的资格条件</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1.满足《中华人民共和国政府采购法》第二十二条规定，即：</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（2）具有良好的商业信誉和健全的财务会计制度；</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（3）具有履行合同所必需的设备和专业技术能力；</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（4）有依法缴纳税收和社会保障资金的良好记录；</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（5）参加政府采购活动前三年内，在经营活动中没有重大违法记录；</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（6）法律、行政法规规定的其他条件。</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2.应未被列入失信被执行人、重大税收违法案件当事人名单，未被列入政府采购严重违法失信行为记录名单。</w:t>
      </w:r>
    </w:p>
    <w:p>
      <w:pPr>
        <w:spacing w:line="48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3.落实政府采购政策需满足的资格要求：</w:t>
      </w:r>
      <w:r>
        <w:rPr>
          <w:rFonts w:hint="eastAsia" w:ascii="宋体" w:hAnsi="宋体" w:eastAsia="宋体" w:cs="宋体"/>
          <w:b/>
          <w:bCs/>
          <w:sz w:val="28"/>
          <w:szCs w:val="28"/>
          <w:lang w:eastAsia="zh-CN"/>
        </w:rPr>
        <w:t>专门面向中小微企业</w:t>
      </w:r>
    </w:p>
    <w:p>
      <w:pPr>
        <w:spacing w:line="48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4.本项目的特定资格要求：</w:t>
      </w:r>
      <w:r>
        <w:rPr>
          <w:rFonts w:hint="eastAsia" w:ascii="宋体" w:hAnsi="宋体" w:eastAsia="宋体" w:cs="宋体"/>
          <w:b/>
          <w:bCs/>
          <w:sz w:val="28"/>
          <w:szCs w:val="28"/>
          <w:lang w:eastAsia="zh-CN"/>
        </w:rPr>
        <w:t>供应商应为依据中国法律注册成立的会计师事务所（分支机构不具有参与资格），具备国家行业主管部门颁发的有效执业证书。</w:t>
      </w:r>
    </w:p>
    <w:p>
      <w:pPr>
        <w:numPr>
          <w:ilvl w:val="0"/>
          <w:numId w:val="1"/>
        </w:numPr>
        <w:ind w:left="0" w:leftChars="0" w:firstLine="220" w:firstLineChars="0"/>
        <w:rPr>
          <w:rFonts w:ascii="黑体" w:hAnsi="黑体" w:eastAsia="黑体"/>
          <w:sz w:val="32"/>
          <w:szCs w:val="32"/>
        </w:rPr>
      </w:pPr>
      <w:r>
        <w:rPr>
          <w:rFonts w:hint="eastAsia" w:ascii="黑体" w:hAnsi="黑体" w:eastAsia="黑体"/>
          <w:sz w:val="32"/>
          <w:szCs w:val="32"/>
          <w:lang w:eastAsia="zh-CN"/>
        </w:rPr>
        <w:t>项目技术、服务</w:t>
      </w:r>
      <w:r>
        <w:rPr>
          <w:rFonts w:hint="eastAsia" w:ascii="黑体" w:hAnsi="黑体" w:eastAsia="黑体"/>
          <w:sz w:val="32"/>
          <w:szCs w:val="32"/>
        </w:rPr>
        <w:t>要求</w:t>
      </w:r>
    </w:p>
    <w:p>
      <w:pPr>
        <w:numPr>
          <w:ilvl w:val="0"/>
          <w:numId w:val="2"/>
        </w:numPr>
        <w:ind w:left="0" w:leftChars="0" w:firstLine="420" w:firstLineChars="0"/>
        <w:rPr>
          <w:rFonts w:ascii="楷体" w:hAnsi="楷体" w:eastAsia="楷体"/>
          <w:sz w:val="28"/>
          <w:szCs w:val="28"/>
        </w:rPr>
      </w:pPr>
      <w:r>
        <w:rPr>
          <w:rFonts w:hint="eastAsia" w:ascii="楷体" w:hAnsi="楷体" w:eastAsia="楷体"/>
          <w:sz w:val="28"/>
          <w:szCs w:val="28"/>
        </w:rPr>
        <w:t>服务内容</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宋体" w:cs="黑体"/>
          <w:b w:val="0"/>
          <w:bCs w:val="0"/>
          <w:color w:val="auto"/>
          <w:sz w:val="28"/>
          <w:szCs w:val="28"/>
          <w:lang w:val="en-US" w:eastAsia="zh-CN"/>
        </w:rPr>
      </w:pPr>
      <w:r>
        <w:rPr>
          <w:rFonts w:hint="eastAsia" w:ascii="宋体" w:hAnsi="宋体" w:eastAsia="宋体" w:cs="Times New Roman"/>
          <w:b w:val="0"/>
          <w:bCs w:val="0"/>
          <w:color w:val="auto"/>
          <w:kern w:val="2"/>
          <w:sz w:val="28"/>
          <w:szCs w:val="28"/>
          <w:lang w:val="en-US" w:eastAsia="zh-CN" w:bidi="ar-SA"/>
        </w:rPr>
        <w:t>C230</w:t>
      </w:r>
      <w:r>
        <w:rPr>
          <w:rFonts w:hint="default" w:ascii="宋体" w:hAnsi="宋体" w:cs="Times New Roman"/>
          <w:b w:val="0"/>
          <w:bCs w:val="0"/>
          <w:color w:val="auto"/>
          <w:kern w:val="2"/>
          <w:sz w:val="28"/>
          <w:szCs w:val="28"/>
          <w:lang w:eastAsia="zh-CN" w:bidi="ar-SA"/>
        </w:rPr>
        <w:t>3</w:t>
      </w:r>
      <w:r>
        <w:rPr>
          <w:rFonts w:hint="eastAsia" w:ascii="宋体" w:hAnsi="宋体" w:eastAsia="宋体" w:cs="Times New Roman"/>
          <w:b w:val="0"/>
          <w:bCs w:val="0"/>
          <w:color w:val="auto"/>
          <w:kern w:val="2"/>
          <w:sz w:val="28"/>
          <w:szCs w:val="28"/>
          <w:lang w:val="en-US" w:eastAsia="zh-CN" w:bidi="ar-SA"/>
        </w:rPr>
        <w:t>0000</w:t>
      </w:r>
      <w:r>
        <w:rPr>
          <w:rFonts w:hint="eastAsia" w:ascii="Times New Roman" w:hAnsi="Times New Roman" w:eastAsia="宋体" w:cs="黑体"/>
          <w:b w:val="0"/>
          <w:bCs w:val="0"/>
          <w:color w:val="auto"/>
          <w:sz w:val="28"/>
          <w:szCs w:val="28"/>
          <w:lang w:val="en-US" w:eastAsia="zh-CN"/>
        </w:rPr>
        <w:t>审计服务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行业划型：按照《关于印发中小企业划型标准规定的通知》（工信部联企业〔2011〕300号）的标准，本包标的属于“其他未列明行业”。</w:t>
      </w:r>
    </w:p>
    <w:p>
      <w:pPr>
        <w:keepNext w:val="0"/>
        <w:keepLines w:val="0"/>
        <w:pageBreakBefore w:val="0"/>
        <w:widowControl w:val="0"/>
        <w:numPr>
          <w:ilvl w:val="0"/>
          <w:numId w:val="3"/>
        </w:numPr>
        <w:kinsoku/>
        <w:wordWrap/>
        <w:overflowPunct/>
        <w:topLinePunct w:val="0"/>
        <w:autoSpaceDE/>
        <w:autoSpaceDN/>
        <w:bidi w:val="0"/>
        <w:adjustRightInd/>
        <w:snapToGrid/>
        <w:spacing w:before="32" w:line="360" w:lineRule="auto"/>
        <w:ind w:left="0" w:leftChars="0" w:right="0" w:rightChars="0" w:firstLine="420" w:firstLineChars="0"/>
        <w:jc w:val="left"/>
        <w:textAlignment w:val="auto"/>
        <w:rPr>
          <w:b/>
          <w:color w:val="auto"/>
          <w:sz w:val="28"/>
        </w:rPr>
      </w:pPr>
      <w:r>
        <w:rPr>
          <w:b/>
          <w:color w:val="auto"/>
          <w:spacing w:val="-14"/>
          <w:sz w:val="28"/>
        </w:rPr>
        <w:t>经济责任审计</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560" w:firstLineChars="200"/>
        <w:jc w:val="both"/>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任期届满或离任时，对考核期内责任人的经济责任审计，即领导干部在任职期间，对其管辖范围内贯彻执行党和国家经济方针政策、决策部署，推动经济和社会事业发展，管理公共资金、国有资产、国有资源，防控重大经济风险等有关经济活动应当履行的职责。</w:t>
      </w:r>
    </w:p>
    <w:p>
      <w:pPr>
        <w:keepNext w:val="0"/>
        <w:keepLines w:val="0"/>
        <w:pageBreakBefore w:val="0"/>
        <w:widowControl w:val="0"/>
        <w:numPr>
          <w:ilvl w:val="0"/>
          <w:numId w:val="3"/>
        </w:numPr>
        <w:kinsoku/>
        <w:wordWrap/>
        <w:overflowPunct/>
        <w:topLinePunct w:val="0"/>
        <w:autoSpaceDE/>
        <w:autoSpaceDN/>
        <w:bidi w:val="0"/>
        <w:adjustRightInd/>
        <w:snapToGrid/>
        <w:spacing w:before="32" w:line="360" w:lineRule="auto"/>
        <w:ind w:left="0" w:leftChars="0" w:right="0" w:rightChars="0" w:firstLine="420" w:firstLineChars="0"/>
        <w:jc w:val="left"/>
        <w:textAlignment w:val="auto"/>
        <w:rPr>
          <w:rFonts w:eastAsia="宋体"/>
          <w:b/>
          <w:color w:val="auto"/>
          <w:spacing w:val="-14"/>
          <w:sz w:val="28"/>
        </w:rPr>
      </w:pPr>
      <w:bookmarkStart w:id="0" w:name="第2包：其他内容审计"/>
      <w:bookmarkEnd w:id="0"/>
      <w:r>
        <w:rPr>
          <w:rFonts w:eastAsia="宋体"/>
          <w:b/>
          <w:color w:val="auto"/>
          <w:spacing w:val="-14"/>
          <w:sz w:val="28"/>
        </w:rPr>
        <w:t>其他内容审计</w:t>
      </w:r>
    </w:p>
    <w:p>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560" w:firstLineChars="200"/>
        <w:jc w:val="both"/>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年度财务报表审计、清产核资等专项审计、基本建设工程决算审核业务建设项目竣工财务决算审计、非盈利机构报表审计等。</w:t>
      </w:r>
    </w:p>
    <w:p>
      <w:pPr>
        <w:numPr>
          <w:ilvl w:val="0"/>
          <w:numId w:val="2"/>
        </w:numPr>
        <w:ind w:left="0" w:leftChars="0" w:firstLine="420" w:firstLineChars="0"/>
        <w:rPr>
          <w:rFonts w:hint="eastAsia" w:ascii="楷体" w:hAnsi="楷体" w:eastAsia="楷体"/>
          <w:sz w:val="28"/>
          <w:szCs w:val="28"/>
        </w:rPr>
      </w:pPr>
      <w:r>
        <w:rPr>
          <w:rFonts w:hint="eastAsia" w:ascii="楷体" w:hAnsi="楷体" w:eastAsia="楷体"/>
          <w:sz w:val="28"/>
          <w:szCs w:val="28"/>
        </w:rPr>
        <w:t>服务标准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auto"/>
          <w:sz w:val="28"/>
          <w:szCs w:val="28"/>
        </w:rPr>
      </w:pPr>
      <w:r>
        <w:rPr>
          <w:rFonts w:hint="eastAsia"/>
          <w:color w:val="auto"/>
          <w:sz w:val="28"/>
          <w:szCs w:val="28"/>
        </w:rPr>
        <w:t>供应商须对每个审计项目，制定审计工作方案，工作方案应包括审计目的、审计对象、审计方法、审计指标、审计时间安排、团队人员组成等。供应商必须对检查数据和佐证资料的真实性、完整性、准确性以及提交的检查报告的客观公正性负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olor w:val="auto"/>
          <w:sz w:val="28"/>
          <w:szCs w:val="28"/>
          <w:lang w:eastAsia="zh-CN"/>
        </w:rPr>
      </w:pPr>
      <w:r>
        <w:rPr>
          <w:rFonts w:hint="eastAsia"/>
          <w:color w:val="auto"/>
          <w:sz w:val="28"/>
          <w:szCs w:val="28"/>
          <w:lang w:eastAsia="zh-CN"/>
        </w:rPr>
        <w:t>严格依据征集文件要求和响应文件的承诺，向市直各级单位提供服务。不实行任何形式的不合理限制，提出任何附加条款。全面履行投标承诺，圆满完成市直各级单位的相关服务工作，确保质量，提供快捷、方便、满意的服务。（提供承诺函）</w:t>
      </w:r>
    </w:p>
    <w:p>
      <w:pPr>
        <w:numPr>
          <w:ilvl w:val="0"/>
          <w:numId w:val="2"/>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服务要求</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left="0" w:leftChars="0" w:firstLine="425" w:firstLineChars="0"/>
        <w:jc w:val="left"/>
        <w:textAlignment w:val="auto"/>
        <w:rPr>
          <w:rFonts w:hint="eastAsia" w:ascii="宋体" w:hAnsi="宋体" w:eastAsia="宋体" w:cs="宋体"/>
          <w:b/>
          <w:bCs/>
          <w:sz w:val="28"/>
          <w:szCs w:val="28"/>
        </w:rPr>
      </w:pPr>
      <w:r>
        <w:rPr>
          <w:rFonts w:hint="eastAsia" w:ascii="宋体" w:hAnsi="宋体" w:eastAsia="宋体" w:cs="宋体"/>
          <w:b/>
          <w:bCs/>
          <w:color w:val="auto"/>
          <w:sz w:val="28"/>
          <w:szCs w:val="28"/>
          <w:lang w:val="en-US" w:eastAsia="zh-CN"/>
        </w:rPr>
        <w:t>★</w:t>
      </w:r>
      <w:r>
        <w:rPr>
          <w:rFonts w:hint="eastAsia" w:ascii="宋体" w:hAnsi="宋体" w:eastAsia="宋体" w:cs="宋体"/>
          <w:b/>
          <w:bCs/>
          <w:sz w:val="28"/>
          <w:szCs w:val="28"/>
        </w:rPr>
        <w:t>供应商应根据采购人的项目需求配备相应的服务团队及驻场服务要求，至少配备一名注册会计师和项目负责人（可为同一人），遵守采购人的打卡制度要求，在规定的时间节点内按照采购人确定的流程有序组织开展具体工作。(提供相关证明材料)</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left="0" w:leftChars="0" w:firstLine="425" w:firstLineChars="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供应商在审计项目实施过程中，原则上不准更换服务团队人员，如需更换，需提前 7 天书面向采购人提出申请，经同意后更换，否则视为违约，按照合同约定的相关违约责任进行处理。</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left="0" w:leftChars="0" w:firstLine="425" w:firstLineChars="0"/>
        <w:jc w:val="left"/>
        <w:textAlignment w:val="auto"/>
        <w:rPr>
          <w:rFonts w:hint="eastAsia" w:ascii="宋体" w:hAnsi="宋体" w:eastAsia="宋体" w:cs="宋体"/>
          <w:sz w:val="28"/>
          <w:szCs w:val="28"/>
        </w:rPr>
      </w:pPr>
      <w:r>
        <w:rPr>
          <w:rFonts w:hint="eastAsia"/>
          <w:color w:val="auto"/>
          <w:sz w:val="28"/>
          <w:szCs w:val="28"/>
          <w:lang w:eastAsia="zh-CN"/>
        </w:rPr>
        <w:t>具有规范和完善的业务质量控制制度、风险控制制度和健全的内部管理制度。（提供相关证明材料）</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left="0" w:leftChars="0" w:firstLine="425" w:firstLineChars="0"/>
        <w:jc w:val="left"/>
        <w:textAlignment w:val="auto"/>
        <w:rPr>
          <w:rFonts w:hint="eastAsia"/>
          <w:b/>
          <w:bCs/>
          <w:color w:val="auto"/>
          <w:sz w:val="28"/>
          <w:szCs w:val="28"/>
          <w:lang w:eastAsia="zh-CN"/>
        </w:rPr>
      </w:pPr>
      <w:r>
        <w:rPr>
          <w:rFonts w:hint="eastAsia"/>
          <w:b/>
          <w:bCs/>
          <w:color w:val="auto"/>
          <w:sz w:val="28"/>
          <w:szCs w:val="28"/>
          <w:lang w:eastAsia="zh-CN"/>
        </w:rPr>
        <w:t>★制定详细的审计实施方案，实施方案内容包括审计技术方法、重点审计内容、审计起止时间、审计人员分工等。项目审计人员必须具有国家相关部门核发的执业资质证书，且相对固定。供应商应提供拟投入的人员资格证书和劳动合同。（提供相关证明材料）</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left="0" w:leftChars="0" w:firstLine="425" w:firstLineChars="0"/>
        <w:jc w:val="left"/>
        <w:textAlignment w:val="auto"/>
        <w:rPr>
          <w:rFonts w:hint="eastAsia"/>
          <w:b w:val="0"/>
          <w:bCs w:val="0"/>
          <w:color w:val="auto"/>
          <w:sz w:val="28"/>
          <w:szCs w:val="28"/>
          <w:lang w:eastAsia="zh-CN"/>
        </w:rPr>
      </w:pPr>
      <w:r>
        <w:rPr>
          <w:rFonts w:hint="eastAsia"/>
          <w:b w:val="0"/>
          <w:bCs w:val="0"/>
          <w:color w:val="auto"/>
          <w:sz w:val="28"/>
          <w:szCs w:val="28"/>
          <w:lang w:eastAsia="zh-CN"/>
        </w:rPr>
        <w:t>采取有效的质量保障措施，确保现场审计人员依法审计、客观公正、实事求是、廉洁奉公，保持严谨、稳健、负责的职业态度，并随时接受审计机关的监督检查。同时应当对执行业务过程中知悉的信息予以保密。同时，严格执行回避制度，审计人员及有关工作人员与被审项目单位直接关系或存在可能影响审计公正性关系的，应予以回避。（提供相关证明材料）</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left="0" w:leftChars="0" w:firstLine="425" w:firstLineChars="0"/>
        <w:jc w:val="left"/>
        <w:textAlignment w:val="auto"/>
        <w:rPr>
          <w:rFonts w:hint="eastAsia" w:ascii="宋体" w:hAnsi="宋体" w:eastAsia="宋体" w:cs="宋体"/>
          <w:sz w:val="28"/>
          <w:szCs w:val="28"/>
          <w:lang w:eastAsia="zh-CN"/>
        </w:rPr>
      </w:pPr>
      <w:r>
        <w:rPr>
          <w:rFonts w:hint="eastAsia" w:ascii="宋体" w:hAnsi="宋体" w:eastAsia="宋体" w:cs="宋体"/>
          <w:sz w:val="28"/>
          <w:szCs w:val="28"/>
        </w:rPr>
        <w:t>供应商</w:t>
      </w:r>
      <w:r>
        <w:rPr>
          <w:rFonts w:hint="eastAsia" w:ascii="宋体" w:hAnsi="宋体" w:eastAsia="宋体" w:cs="宋体"/>
          <w:sz w:val="28"/>
          <w:szCs w:val="28"/>
          <w:lang w:eastAsia="zh-CN"/>
        </w:rPr>
        <w:t>入围</w:t>
      </w:r>
      <w:r>
        <w:rPr>
          <w:rFonts w:hint="eastAsia" w:ascii="宋体" w:hAnsi="宋体" w:eastAsia="宋体" w:cs="宋体"/>
          <w:sz w:val="28"/>
          <w:szCs w:val="28"/>
        </w:rPr>
        <w:t>后需入驻</w:t>
      </w:r>
      <w:r>
        <w:rPr>
          <w:rFonts w:hint="eastAsia" w:ascii="宋体" w:hAnsi="宋体" w:eastAsia="宋体" w:cs="宋体"/>
          <w:sz w:val="28"/>
          <w:szCs w:val="28"/>
          <w:lang w:eastAsia="zh-CN"/>
        </w:rPr>
        <w:t>黄石市（大冶市）</w:t>
      </w:r>
      <w:r>
        <w:rPr>
          <w:rFonts w:hint="eastAsia" w:ascii="宋体" w:hAnsi="宋体" w:eastAsia="宋体" w:cs="宋体"/>
          <w:sz w:val="28"/>
          <w:szCs w:val="28"/>
        </w:rPr>
        <w:t>政府采购电子商城</w:t>
      </w:r>
      <w:r>
        <w:rPr>
          <w:rFonts w:hint="eastAsia" w:ascii="宋体" w:hAnsi="宋体" w:eastAsia="宋体" w:cs="宋体"/>
          <w:sz w:val="28"/>
          <w:szCs w:val="28"/>
          <w:lang w:eastAsia="zh-CN"/>
        </w:rPr>
        <w:t>。</w:t>
      </w:r>
    </w:p>
    <w:p>
      <w:pPr>
        <w:numPr>
          <w:ilvl w:val="0"/>
          <w:numId w:val="1"/>
        </w:numPr>
        <w:ind w:left="0" w:leftChars="0" w:firstLine="220" w:firstLineChars="0"/>
        <w:rPr>
          <w:rFonts w:hint="eastAsia" w:ascii="黑体" w:hAnsi="黑体" w:eastAsia="黑体"/>
          <w:sz w:val="32"/>
          <w:szCs w:val="32"/>
          <w:lang w:eastAsia="zh-CN"/>
        </w:rPr>
      </w:pPr>
      <w:r>
        <w:rPr>
          <w:rFonts w:hint="eastAsia" w:ascii="黑体" w:hAnsi="黑体" w:eastAsia="黑体"/>
          <w:sz w:val="32"/>
          <w:szCs w:val="32"/>
          <w:lang w:eastAsia="zh-CN"/>
        </w:rPr>
        <w:t>商务要求</w:t>
      </w:r>
    </w:p>
    <w:p>
      <w:pPr>
        <w:numPr>
          <w:ilvl w:val="0"/>
          <w:numId w:val="5"/>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框架协议履行期限：</w:t>
      </w:r>
      <w:r>
        <w:rPr>
          <w:rFonts w:hint="eastAsia" w:eastAsia="宋体"/>
          <w:color w:val="auto"/>
          <w:sz w:val="28"/>
          <w:szCs w:val="28"/>
          <w:lang w:eastAsia="zh-CN"/>
        </w:rPr>
        <w:t>自框架协议签订之日起至202</w:t>
      </w:r>
      <w:r>
        <w:rPr>
          <w:rFonts w:hint="eastAsia" w:eastAsia="宋体"/>
          <w:color w:val="auto"/>
          <w:sz w:val="28"/>
          <w:szCs w:val="28"/>
          <w:lang w:val="en-US" w:eastAsia="zh-CN"/>
        </w:rPr>
        <w:t>5</w:t>
      </w:r>
      <w:r>
        <w:rPr>
          <w:rFonts w:hint="eastAsia" w:eastAsia="宋体"/>
          <w:color w:val="auto"/>
          <w:sz w:val="28"/>
          <w:szCs w:val="28"/>
          <w:lang w:eastAsia="zh-CN"/>
        </w:rPr>
        <w:t>年12月31日。</w:t>
      </w:r>
    </w:p>
    <w:p>
      <w:pPr>
        <w:numPr>
          <w:ilvl w:val="0"/>
          <w:numId w:val="5"/>
        </w:numPr>
        <w:ind w:left="0" w:leftChars="0" w:firstLine="420" w:firstLineChars="0"/>
        <w:rPr>
          <w:rFonts w:hint="eastAsia" w:ascii="宋体" w:hAnsi="宋体" w:eastAsia="宋体" w:cs="宋体"/>
          <w:bCs/>
          <w:sz w:val="28"/>
          <w:szCs w:val="28"/>
        </w:rPr>
      </w:pPr>
      <w:r>
        <w:rPr>
          <w:rFonts w:hint="eastAsia" w:ascii="楷体" w:hAnsi="楷体" w:eastAsia="楷体"/>
          <w:sz w:val="28"/>
          <w:szCs w:val="28"/>
          <w:lang w:eastAsia="zh-CN"/>
        </w:rPr>
        <w:t>服务地点：</w:t>
      </w:r>
      <w:r>
        <w:rPr>
          <w:rFonts w:hint="eastAsia" w:eastAsia="宋体"/>
          <w:color w:val="auto"/>
          <w:sz w:val="28"/>
          <w:szCs w:val="28"/>
          <w:lang w:eastAsia="zh-CN"/>
        </w:rPr>
        <w:t>采购人指定地点</w:t>
      </w:r>
      <w:r>
        <w:rPr>
          <w:rFonts w:hint="eastAsia" w:ascii="宋体" w:hAnsi="宋体" w:eastAsia="宋体" w:cs="宋体"/>
          <w:bCs/>
          <w:sz w:val="28"/>
          <w:szCs w:val="28"/>
        </w:rPr>
        <w:t>。</w:t>
      </w:r>
    </w:p>
    <w:p>
      <w:pPr>
        <w:numPr>
          <w:ilvl w:val="0"/>
          <w:numId w:val="5"/>
        </w:numPr>
        <w:ind w:left="0" w:leftChars="0" w:firstLine="420" w:firstLineChars="0"/>
        <w:rPr>
          <w:rFonts w:hint="eastAsia" w:ascii="宋体" w:hAnsi="宋体" w:eastAsia="宋体" w:cs="宋体"/>
          <w:bCs/>
          <w:sz w:val="28"/>
          <w:szCs w:val="28"/>
          <w:lang w:eastAsia="zh-CN"/>
        </w:rPr>
      </w:pPr>
      <w:r>
        <w:rPr>
          <w:rFonts w:hint="eastAsia" w:ascii="楷体" w:hAnsi="楷体" w:eastAsia="楷体"/>
          <w:sz w:val="28"/>
          <w:szCs w:val="28"/>
          <w:lang w:eastAsia="zh-CN"/>
        </w:rPr>
        <w:t>服务计量方式：</w:t>
      </w:r>
      <w:r>
        <w:rPr>
          <w:rFonts w:hint="eastAsia" w:ascii="宋体" w:hAnsi="宋体" w:eastAsia="宋体" w:cs="宋体"/>
          <w:bCs/>
          <w:sz w:val="28"/>
          <w:szCs w:val="28"/>
        </w:rPr>
        <w:t>按件或者计时计算服务数量，具体服务计量方式根据项目实际情况，由采购人和供应商协商确定</w:t>
      </w:r>
      <w:r>
        <w:rPr>
          <w:rFonts w:hint="eastAsia" w:ascii="宋体" w:hAnsi="宋体" w:eastAsia="宋体" w:cs="宋体"/>
          <w:bCs/>
          <w:sz w:val="28"/>
          <w:szCs w:val="28"/>
          <w:lang w:eastAsia="zh-CN"/>
        </w:rPr>
        <w:t>。</w:t>
      </w:r>
    </w:p>
    <w:p>
      <w:pPr>
        <w:numPr>
          <w:ilvl w:val="0"/>
          <w:numId w:val="5"/>
        </w:numPr>
        <w:ind w:left="0" w:leftChars="0" w:firstLine="420" w:firstLineChars="0"/>
        <w:rPr>
          <w:rFonts w:hint="eastAsia" w:ascii="楷体" w:hAnsi="楷体" w:eastAsia="楷体"/>
          <w:sz w:val="28"/>
          <w:szCs w:val="28"/>
          <w:lang w:eastAsia="zh-CN"/>
        </w:rPr>
      </w:pPr>
      <w:r>
        <w:rPr>
          <w:rFonts w:hint="eastAsia" w:ascii="楷体" w:hAnsi="楷体" w:eastAsia="楷体"/>
          <w:sz w:val="28"/>
          <w:szCs w:val="28"/>
          <w:lang w:eastAsia="zh-CN"/>
        </w:rPr>
        <w:t>报价要求</w:t>
      </w:r>
    </w:p>
    <w:p>
      <w:pPr>
        <w:keepNext w:val="0"/>
        <w:keepLines w:val="0"/>
        <w:pageBreakBefore w:val="0"/>
        <w:widowControl w:val="0"/>
        <w:numPr>
          <w:ilvl w:val="0"/>
          <w:numId w:val="0"/>
        </w:numPr>
        <w:kinsoku/>
        <w:wordWrap/>
        <w:overflowPunct/>
        <w:topLinePunct w:val="0"/>
        <w:autoSpaceDE/>
        <w:autoSpaceDN/>
        <w:bidi w:val="0"/>
        <w:adjustRightInd/>
        <w:snapToGrid/>
        <w:ind w:left="5" w:leftChars="0" w:firstLine="630" w:firstLineChars="225"/>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供应商所有报价均应为含税价格，请供应商综合考虑服务的成本、效益等因素，参照以下表格内容慎重填写本次报价内容；</w:t>
      </w:r>
    </w:p>
    <w:tbl>
      <w:tblPr>
        <w:tblStyle w:val="8"/>
        <w:tblW w:w="511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5"/>
        <w:gridCol w:w="180"/>
        <w:gridCol w:w="645"/>
        <w:gridCol w:w="930"/>
        <w:gridCol w:w="1005"/>
        <w:gridCol w:w="15"/>
        <w:gridCol w:w="1845"/>
        <w:gridCol w:w="1849"/>
        <w:gridCol w:w="15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00" w:hRule="atLeast"/>
          <w:jc w:val="center"/>
        </w:trPr>
        <w:tc>
          <w:tcPr>
            <w:tcW w:w="4095" w:type="pct"/>
            <w:gridSpan w:val="8"/>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（一）经济责任审计</w:t>
            </w:r>
          </w:p>
        </w:tc>
        <w:tc>
          <w:tcPr>
            <w:tcW w:w="904"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黑体" w:hAnsi="黑体" w:eastAsia="黑体" w:cs="黑体"/>
                <w:b/>
                <w:bCs w:val="0"/>
                <w:sz w:val="24"/>
                <w:szCs w:val="24"/>
                <w:highlight w:val="none"/>
              </w:rPr>
            </w:pPr>
            <w:r>
              <w:rPr>
                <w:rFonts w:hint="eastAsia" w:ascii="黑体" w:hAnsi="黑体" w:eastAsia="黑体" w:cs="黑体"/>
                <w:b/>
                <w:bCs w:val="0"/>
                <w:sz w:val="24"/>
                <w:szCs w:val="24"/>
                <w:highlight w:val="none"/>
              </w:rPr>
              <w:t>折扣率（%）</w:t>
            </w:r>
          </w:p>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仿宋" w:hAnsi="仿宋" w:eastAsia="仿宋" w:cs="仿宋"/>
                <w:b w:val="0"/>
                <w:bCs/>
                <w:sz w:val="22"/>
                <w:szCs w:val="22"/>
                <w:highlight w:val="none"/>
                <w:lang w:eastAsia="zh-CN"/>
              </w:rPr>
              <w:t>（小数位保留两位小数）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00" w:hRule="atLeast"/>
          <w:jc w:val="center"/>
        </w:trPr>
        <w:tc>
          <w:tcPr>
            <w:tcW w:w="4095" w:type="pct"/>
            <w:gridSpan w:val="8"/>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（1）计件收费报价</w:t>
            </w:r>
          </w:p>
        </w:tc>
        <w:tc>
          <w:tcPr>
            <w:tcW w:w="904" w:type="pct"/>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15" w:hRule="atLeast"/>
          <w:jc w:val="center"/>
        </w:trPr>
        <w:tc>
          <w:tcPr>
            <w:tcW w:w="85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收费项目</w:t>
            </w:r>
          </w:p>
        </w:tc>
        <w:tc>
          <w:tcPr>
            <w:tcW w:w="5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计费</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依据</w:t>
            </w: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计费额度</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最高费率</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（‰）或限额</w:t>
            </w:r>
          </w:p>
        </w:tc>
        <w:tc>
          <w:tcPr>
            <w:tcW w:w="904" w:type="pct"/>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60" w:hRule="atLeast"/>
          <w:jc w:val="center"/>
        </w:trPr>
        <w:tc>
          <w:tcPr>
            <w:tcW w:w="859"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经济责任、离任审计</w:t>
            </w:r>
          </w:p>
        </w:tc>
        <w:tc>
          <w:tcPr>
            <w:tcW w:w="53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资产总额或年度收</w:t>
            </w:r>
            <w:r>
              <w:rPr>
                <w:rFonts w:hint="eastAsia" w:ascii="宋体" w:hAnsi="宋体" w:eastAsia="宋体" w:cs="宋体"/>
                <w:i w:val="0"/>
                <w:color w:val="000000"/>
                <w:kern w:val="0"/>
                <w:sz w:val="24"/>
                <w:szCs w:val="24"/>
                <w:u w:val="none"/>
                <w:lang w:val="en-US" w:eastAsia="zh-CN" w:bidi="ar"/>
              </w:rPr>
              <w:t>支总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额</w:t>
            </w: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最低起收点</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 万元</w:t>
            </w:r>
          </w:p>
        </w:tc>
        <w:tc>
          <w:tcPr>
            <w:tcW w:w="904" w:type="pct"/>
            <w:vMerge w:val="restart"/>
            <w:tcBorders>
              <w:top w:val="single" w:color="auto" w:sz="4" w:space="0"/>
              <w:left w:val="single" w:color="auto" w:sz="4" w:space="0"/>
              <w:right w:val="single" w:color="auto" w:sz="4" w:space="0"/>
            </w:tcBorders>
            <w:noWrap w:val="0"/>
            <w:vAlign w:val="center"/>
          </w:tcPr>
          <w:p>
            <w:pPr>
              <w:jc w:val="center"/>
              <w:rPr>
                <w:rFonts w:hint="eastAsia" w:ascii="仿宋" w:hAnsi="仿宋" w:eastAsia="仿宋"/>
                <w:sz w:val="24"/>
                <w:szCs w:val="24"/>
                <w:lang w:val="en-US" w:eastAsia="zh-CN"/>
              </w:rPr>
            </w:pPr>
            <w:r>
              <w:rPr>
                <w:rFonts w:hint="eastAsia" w:ascii="仿宋" w:hAnsi="仿宋" w:eastAsia="仿宋"/>
                <w:sz w:val="24"/>
                <w:szCs w:val="24"/>
                <w:u w:val="single"/>
                <w:lang w:eastAsia="zh-CN"/>
              </w:rPr>
              <w:t>　</w:t>
            </w:r>
            <w:r>
              <w:rPr>
                <w:rFonts w:hint="eastAsia" w:ascii="仿宋" w:hAnsi="仿宋" w:eastAsia="仿宋"/>
                <w:sz w:val="24"/>
                <w:szCs w:val="24"/>
                <w:u w:val="single"/>
                <w:lang w:val="en-US" w:eastAsia="zh-CN"/>
              </w:rPr>
              <w:t xml:space="preserve">    </w:t>
            </w:r>
            <w:r>
              <w:rPr>
                <w:rFonts w:hint="eastAsia" w:ascii="仿宋" w:hAnsi="仿宋" w:eastAsia="仿宋"/>
                <w:sz w:val="24"/>
                <w:szCs w:val="24"/>
              </w:rPr>
              <w:t>％</w:t>
            </w:r>
            <w:r>
              <w:rPr>
                <w:rFonts w:hint="eastAsia" w:ascii="仿宋" w:hAnsi="仿宋" w:eastAsia="仿宋"/>
                <w:sz w:val="24"/>
                <w:szCs w:val="24"/>
                <w:lang w:val="en-US" w:eastAsia="zh-CN"/>
              </w:rPr>
              <w:t xml:space="preserve"> </w:t>
            </w:r>
          </w:p>
          <w:p>
            <w:pPr>
              <w:jc w:val="center"/>
              <w:rPr>
                <w:rFonts w:hint="eastAsia" w:ascii="宋体" w:hAnsi="宋体" w:eastAsia="仿宋" w:cs="宋体"/>
                <w:i w:val="0"/>
                <w:color w:val="000000"/>
                <w:sz w:val="24"/>
                <w:szCs w:val="24"/>
                <w:u w:val="none"/>
                <w:lang w:eastAsia="zh-CN"/>
              </w:rPr>
            </w:pPr>
            <w:r>
              <w:rPr>
                <w:rFonts w:hint="eastAsia" w:ascii="仿宋" w:hAnsi="仿宋" w:eastAsia="仿宋"/>
                <w:sz w:val="24"/>
                <w:szCs w:val="24"/>
                <w:lang w:eastAsia="zh-CN"/>
              </w:rPr>
              <w:t>（</w:t>
            </w:r>
            <w:r>
              <w:rPr>
                <w:rFonts w:hint="default" w:ascii="仿宋" w:hAnsi="仿宋" w:eastAsia="仿宋" w:cs="仿宋"/>
                <w:sz w:val="22"/>
                <w:szCs w:val="22"/>
                <w:lang w:val="en-US" w:eastAsia="zh-CN"/>
              </w:rPr>
              <w:t>折扣形式报价仅支持正向折扣，例如：填写60%时表示打6折，填写85%时表示打8.5折</w:t>
            </w:r>
            <w:r>
              <w:rPr>
                <w:rFonts w:hint="eastAsia" w:ascii="仿宋" w:hAnsi="仿宋" w:eastAsia="仿宋" w:cs="仿宋"/>
                <w:sz w:val="22"/>
                <w:szCs w:val="22"/>
                <w:lang w:val="en-US" w:eastAsia="zh-CN"/>
              </w:rPr>
              <w:t>，折扣最高不得超过100%。</w:t>
            </w:r>
            <w:r>
              <w:rPr>
                <w:rFonts w:hint="eastAsia" w:ascii="仿宋" w:hAnsi="仿宋" w:eastAsia="仿宋"/>
                <w:sz w:val="24"/>
                <w:szCs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 万元以下（含）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 万元</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100-500 万元（含）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0.5‰</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500-1000 万元（含）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1000-5000 万元（含）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5000-1 亿元（含）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0.04‰</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 亿元以上的按增加额的0.016‰累计计算</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00" w:hRule="atLeast"/>
          <w:jc w:val="center"/>
        </w:trPr>
        <w:tc>
          <w:tcPr>
            <w:tcW w:w="4095" w:type="pct"/>
            <w:gridSpan w:val="8"/>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（2）计时收费报价</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159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人员类别</w:t>
            </w:r>
          </w:p>
        </w:tc>
        <w:tc>
          <w:tcPr>
            <w:tcW w:w="2117"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最高收费限额（元/小时）</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9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主任/副主任会计师</w:t>
            </w:r>
          </w:p>
        </w:tc>
        <w:tc>
          <w:tcPr>
            <w:tcW w:w="2117"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400</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9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注册会计师</w:t>
            </w:r>
          </w:p>
        </w:tc>
        <w:tc>
          <w:tcPr>
            <w:tcW w:w="2117"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300</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38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9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助理会计师</w:t>
            </w:r>
          </w:p>
        </w:tc>
        <w:tc>
          <w:tcPr>
            <w:tcW w:w="2117"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180</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00" w:hRule="atLeast"/>
          <w:jc w:val="center"/>
        </w:trPr>
        <w:tc>
          <w:tcPr>
            <w:tcW w:w="4095" w:type="pct"/>
            <w:gridSpan w:val="8"/>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（二）其它内容审计</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00" w:hRule="atLeast"/>
          <w:jc w:val="center"/>
        </w:trPr>
        <w:tc>
          <w:tcPr>
            <w:tcW w:w="4095" w:type="pct"/>
            <w:gridSpan w:val="8"/>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（1）计件收费报价</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35" w:hRule="atLeast"/>
          <w:jc w:val="center"/>
        </w:trPr>
        <w:tc>
          <w:tcPr>
            <w:tcW w:w="859"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1、年度财务报表审计</w:t>
            </w:r>
          </w:p>
        </w:tc>
        <w:tc>
          <w:tcPr>
            <w:tcW w:w="533" w:type="pct"/>
            <w:vMerge w:val="restart"/>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资产总额或年度收支总额</w:t>
            </w: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 万元以下（含）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100—500 万元（含）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0.75‰</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500—1000 万元（含）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1000—5000 万元（含）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0.15‰</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5000—1 亿元（含）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0.12‰</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 亿—10 亿元（含）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0.1‰</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 亿—50 亿元（含）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0.09‰</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 亿—100 亿元（含）</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0.05‰</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 亿元以上</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0.04‰</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859"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533" w:type="pct"/>
            <w:vMerge w:val="continue"/>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起收点 0.3 万元</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1393"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2、清产核资等专项审计</w:t>
            </w: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起收点 0.5 元</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1393"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资产总额 5‰收费</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960" w:hRule="atLeast"/>
          <w:jc w:val="center"/>
        </w:trPr>
        <w:tc>
          <w:tcPr>
            <w:tcW w:w="139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3、基本建设工程决算审核业务建设项目竣工财务决算审计</w:t>
            </w: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项目投资总额的 3‰收取</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60" w:hRule="atLeast"/>
          <w:jc w:val="center"/>
        </w:trPr>
        <w:tc>
          <w:tcPr>
            <w:tcW w:w="139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4、非盈利机构报表审计</w:t>
            </w:r>
          </w:p>
        </w:tc>
        <w:tc>
          <w:tcPr>
            <w:tcW w:w="164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年度报表审计收费标准的 70%收取</w:t>
            </w:r>
          </w:p>
        </w:tc>
        <w:tc>
          <w:tcPr>
            <w:tcW w:w="1059" w:type="pct"/>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4095" w:type="pct"/>
            <w:gridSpan w:val="8"/>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（2）计时收费报价</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49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14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人员类别</w:t>
            </w:r>
          </w:p>
        </w:tc>
        <w:tc>
          <w:tcPr>
            <w:tcW w:w="2126" w:type="pct"/>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最高收费限额（元/小时）</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60" w:hRule="atLeast"/>
          <w:jc w:val="center"/>
        </w:trPr>
        <w:tc>
          <w:tcPr>
            <w:tcW w:w="49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4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主任/副主任会计师</w:t>
            </w:r>
          </w:p>
        </w:tc>
        <w:tc>
          <w:tcPr>
            <w:tcW w:w="2126" w:type="pct"/>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400</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60" w:hRule="atLeast"/>
          <w:jc w:val="center"/>
        </w:trPr>
        <w:tc>
          <w:tcPr>
            <w:tcW w:w="49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4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注册会计师</w:t>
            </w:r>
          </w:p>
        </w:tc>
        <w:tc>
          <w:tcPr>
            <w:tcW w:w="2126" w:type="pct"/>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300</w:t>
            </w:r>
          </w:p>
        </w:tc>
        <w:tc>
          <w:tcPr>
            <w:tcW w:w="904" w:type="pct"/>
            <w:vMerge w:val="continue"/>
            <w:tcBorders>
              <w:left w:val="single" w:color="auto"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49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47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助理会计师</w:t>
            </w:r>
          </w:p>
        </w:tc>
        <w:tc>
          <w:tcPr>
            <w:tcW w:w="2126" w:type="pct"/>
            <w:gridSpan w:val="3"/>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180</w:t>
            </w:r>
          </w:p>
        </w:tc>
        <w:tc>
          <w:tcPr>
            <w:tcW w:w="904" w:type="pct"/>
            <w:vMerge w:val="continue"/>
            <w:tcBorders>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15" w:hRule="atLeast"/>
          <w:jc w:val="center"/>
        </w:trPr>
        <w:tc>
          <w:tcPr>
            <w:tcW w:w="5000" w:type="pct"/>
            <w:gridSpan w:val="9"/>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top"/>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注：请供应商综合考虑服务的成本、效益等因素，结合以下情况，慎重填写本次报价内容：</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A、经过报价折扣计算的收费费用小于最低起收点时，按最低起收点收取，最低起收点不需报折扣。</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B、供应商对于不同审计内容需报出同一个固定值折扣（计件收费和计时收费的折扣必须相等），且不得超出每个档次的最高费率（0＜折扣≤100%）。</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C.为防止报价趋同导致大量供应商进入淘汰名次，请供应商报价至小数点后两位数。如 90.56%或 95.12%等，如：若供应商所报折扣为 99.25％，则该供应商的协议价格=最高收费限额*99.25%。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15" w:hRule="atLeast"/>
          <w:jc w:val="center"/>
        </w:trPr>
        <w:tc>
          <w:tcPr>
            <w:tcW w:w="5000" w:type="pct"/>
            <w:gridSpan w:val="9"/>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30" w:hRule="atLeast"/>
          <w:jc w:val="center"/>
        </w:trPr>
        <w:tc>
          <w:tcPr>
            <w:tcW w:w="5000" w:type="pct"/>
            <w:gridSpan w:val="9"/>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30" w:hRule="atLeast"/>
          <w:jc w:val="center"/>
        </w:trPr>
        <w:tc>
          <w:tcPr>
            <w:tcW w:w="5000" w:type="pct"/>
            <w:gridSpan w:val="9"/>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345" w:hRule="atLeast"/>
          <w:jc w:val="center"/>
        </w:trPr>
        <w:tc>
          <w:tcPr>
            <w:tcW w:w="5000" w:type="pct"/>
            <w:gridSpan w:val="9"/>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r>
    </w:tbl>
    <w:p>
      <w:pPr>
        <w:numPr>
          <w:ilvl w:val="0"/>
          <w:numId w:val="1"/>
        </w:numPr>
        <w:ind w:left="0" w:leftChars="0" w:firstLine="220" w:firstLineChars="0"/>
        <w:rPr>
          <w:rFonts w:hint="eastAsia" w:ascii="黑体" w:hAnsi="黑体" w:eastAsia="黑体"/>
          <w:sz w:val="32"/>
          <w:szCs w:val="32"/>
          <w:lang w:val="zh-CN" w:eastAsia="zh-CN"/>
        </w:rPr>
      </w:pPr>
      <w:bookmarkStart w:id="1" w:name="_Toc272247708"/>
      <w:bookmarkStart w:id="2" w:name="_Toc278891605"/>
      <w:bookmarkStart w:id="3" w:name="_Toc12316"/>
      <w:bookmarkStart w:id="4" w:name="_Toc31654"/>
      <w:bookmarkStart w:id="5" w:name="_Toc4566"/>
      <w:bookmarkStart w:id="6" w:name="_Toc494561961"/>
      <w:r>
        <w:rPr>
          <w:rFonts w:hint="eastAsia" w:ascii="黑体" w:hAnsi="黑体" w:eastAsia="黑体"/>
          <w:sz w:val="32"/>
          <w:szCs w:val="32"/>
          <w:lang w:val="zh-CN" w:eastAsia="zh-CN"/>
        </w:rPr>
        <w:t>评</w:t>
      </w:r>
      <w:bookmarkEnd w:id="1"/>
      <w:bookmarkEnd w:id="2"/>
      <w:r>
        <w:rPr>
          <w:rFonts w:hint="eastAsia" w:ascii="黑体" w:hAnsi="黑体" w:eastAsia="黑体"/>
          <w:sz w:val="32"/>
          <w:szCs w:val="32"/>
          <w:lang w:val="zh-CN" w:eastAsia="zh-CN"/>
        </w:rPr>
        <w:t>审方法</w:t>
      </w:r>
      <w:bookmarkEnd w:id="3"/>
      <w:bookmarkEnd w:id="4"/>
      <w:bookmarkEnd w:id="5"/>
      <w:bookmarkEnd w:id="6"/>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本次征集活动采用“</w:t>
      </w:r>
      <w:r>
        <w:rPr>
          <w:rFonts w:hint="eastAsia" w:ascii="宋体" w:hAnsi="宋体" w:eastAsia="宋体" w:cs="宋体"/>
          <w:b/>
          <w:bCs/>
          <w:sz w:val="28"/>
          <w:szCs w:val="28"/>
          <w:lang w:val="zh-CN" w:eastAsia="zh-CN"/>
        </w:rPr>
        <w:t>价格优先法</w:t>
      </w:r>
      <w:r>
        <w:rPr>
          <w:rFonts w:hint="eastAsia" w:ascii="宋体" w:hAnsi="宋体" w:eastAsia="宋体" w:cs="宋体"/>
          <w:sz w:val="28"/>
          <w:szCs w:val="28"/>
          <w:lang w:val="zh-CN" w:eastAsia="zh-CN"/>
        </w:rPr>
        <w:t>”进行评审，供应商的报价多少决定能否成为入围供应商。（价格优先法：指对满足采购需求且响应报价不超过最高限制单价的货物、服务，按照响应报价从低到高排序，根据征集文件规定的淘汰率或者入围供应商数量上限，确定入围供应商的评审方法。）</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425" w:firstLineChars="0"/>
        <w:textAlignment w:val="auto"/>
        <w:rPr>
          <w:rFonts w:hint="eastAsia" w:ascii="宋体" w:hAnsi="宋体" w:eastAsia="宋体" w:cs="宋体"/>
          <w:sz w:val="28"/>
          <w:szCs w:val="28"/>
          <w:lang w:val="zh-CN" w:eastAsia="zh-CN"/>
        </w:rPr>
      </w:pPr>
      <w:r>
        <w:rPr>
          <w:rFonts w:hint="eastAsia" w:ascii="宋体" w:hAnsi="宋体" w:eastAsia="宋体" w:cs="宋体"/>
          <w:b/>
          <w:bCs/>
          <w:sz w:val="28"/>
          <w:szCs w:val="28"/>
          <w:lang w:val="zh-CN" w:eastAsia="zh-CN"/>
        </w:rPr>
        <w:t>入围供应商的淘汰比例：20%，且至少淘汰一家供应商。</w:t>
      </w:r>
      <w:r>
        <w:rPr>
          <w:rFonts w:hint="eastAsia" w:ascii="宋体" w:hAnsi="宋体" w:eastAsia="宋体" w:cs="宋体"/>
          <w:sz w:val="28"/>
          <w:szCs w:val="28"/>
          <w:lang w:val="zh-CN" w:eastAsia="zh-CN"/>
        </w:rPr>
        <w:t>（提交响应文件和符合资格条件、实质性要求的供应商少于2家时，采购活动终止。）</w:t>
      </w:r>
    </w:p>
    <w:p>
      <w:pPr>
        <w:keepNext w:val="0"/>
        <w:keepLines w:val="0"/>
        <w:pageBreakBefore w:val="0"/>
        <w:widowControl/>
        <w:numPr>
          <w:ilvl w:val="0"/>
          <w:numId w:val="7"/>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若计算的淘汰数非整数，则按照向上取整原则进行处理。即，淘汰数量=向上取整[供应商数量×20%]（示例：如有11家供应商投标，淘汰数量=向上取整[11×20%]=向上取整[2.2]=3,最终实际淘汰3 家供应商）； </w:t>
      </w:r>
    </w:p>
    <w:p>
      <w:pPr>
        <w:keepNext w:val="0"/>
        <w:keepLines w:val="0"/>
        <w:pageBreakBefore w:val="0"/>
        <w:widowControl/>
        <w:numPr>
          <w:ilvl w:val="0"/>
          <w:numId w:val="7"/>
        </w:numPr>
        <w:suppressLineNumbers w:val="0"/>
        <w:kinsoku/>
        <w:wordWrap/>
        <w:overflowPunct/>
        <w:topLinePunct w:val="0"/>
        <w:autoSpaceDE/>
        <w:autoSpaceDN/>
        <w:bidi w:val="0"/>
        <w:adjustRightInd/>
        <w:snapToGrid/>
        <w:ind w:left="425" w:leftChars="0" w:hanging="425" w:firstLineChars="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为防止报价趋同导致大量供应商进入淘汰名次（如：项目共计100家投标人参与投标，若70家报价为80％，30家报价为90％，则报价为90％的30家全部淘汰；若70家报价为80％，1家报价为89.99％，29家报价为90％，则报价为90％的29家全部淘汰），请供应商报价至小数点后二位数（如80.25％或95.32％等）。</w:t>
      </w:r>
    </w:p>
    <w:p>
      <w:pPr>
        <w:ind w:firstLine="645"/>
        <w:rPr>
          <w:rFonts w:hint="eastAsia" w:ascii="仿宋" w:hAnsi="仿宋" w:eastAsia="仿宋"/>
          <w:sz w:val="32"/>
          <w:szCs w:val="32"/>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注：有意向参加大冶市2024年度市直行政事业单位审计服务封闭式框架协议采购的供应商可加入交流群，后续工作通知，政策发布，业务交流等都将在交流群进行同步通知。</w:t>
      </w:r>
      <w:bookmarkStart w:id="7" w:name="_GoBack"/>
      <w:bookmarkEnd w:id="7"/>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drawing>
          <wp:inline distT="0" distB="0" distL="114300" distR="114300">
            <wp:extent cx="1976755" cy="3514090"/>
            <wp:effectExtent l="0" t="0" r="4445" b="10160"/>
            <wp:docPr id="1" name="图片 1" descr="3b8ed6a7fe8207bbbe25b3d9af9d7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b8ed6a7fe8207bbbe25b3d9af9d7f0"/>
                    <pic:cNvPicPr>
                      <a:picLocks noChangeAspect="1"/>
                    </pic:cNvPicPr>
                  </pic:nvPicPr>
                  <pic:blipFill>
                    <a:blip r:embed="rId5"/>
                    <a:stretch>
                      <a:fillRect/>
                    </a:stretch>
                  </pic:blipFill>
                  <pic:spPr>
                    <a:xfrm>
                      <a:off x="0" y="0"/>
                      <a:ext cx="1976755" cy="3514090"/>
                    </a:xfrm>
                    <a:prstGeom prst="rect">
                      <a:avLst/>
                    </a:prstGeom>
                  </pic:spPr>
                </pic:pic>
              </a:graphicData>
            </a:graphic>
          </wp:inline>
        </w:drawing>
      </w:r>
    </w:p>
    <w:p>
      <w:pPr>
        <w:ind w:firstLine="645"/>
        <w:rPr>
          <w:rFonts w:hint="eastAsia" w:ascii="仿宋" w:hAnsi="仿宋" w:eastAsia="仿宋"/>
          <w:sz w:val="32"/>
          <w:szCs w:val="32"/>
          <w:lang w:val="en-US" w:eastAsia="zh-CN"/>
        </w:rPr>
      </w:pPr>
    </w:p>
    <w:p>
      <w:pPr>
        <w:widowControl/>
        <w:snapToGrid w:val="0"/>
        <w:spacing w:line="520" w:lineRule="exact"/>
        <w:ind w:firstLine="640" w:firstLineChars="200"/>
        <w:jc w:val="left"/>
        <w:rPr>
          <w:rFonts w:hint="eastAsia" w:ascii="仿宋" w:hAnsi="仿宋" w:eastAsia="仿宋"/>
          <w:bCs/>
          <w:sz w:val="32"/>
          <w:szCs w:val="32"/>
        </w:r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汉仪叶叶相思体简">
    <w:altName w:val="思源黑体 Regular"/>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思源黑体 Regular">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4C368"/>
    <w:multiLevelType w:val="singleLevel"/>
    <w:tmpl w:val="A7B4C368"/>
    <w:lvl w:ilvl="0" w:tentative="0">
      <w:start w:val="1"/>
      <w:numFmt w:val="decimal"/>
      <w:lvlText w:val="%1."/>
      <w:lvlJc w:val="left"/>
      <w:pPr>
        <w:ind w:left="425" w:hanging="425"/>
      </w:pPr>
      <w:rPr>
        <w:rFonts w:hint="default"/>
      </w:rPr>
    </w:lvl>
  </w:abstractNum>
  <w:abstractNum w:abstractNumId="1">
    <w:nsid w:val="D4E0D1BE"/>
    <w:multiLevelType w:val="singleLevel"/>
    <w:tmpl w:val="D4E0D1BE"/>
    <w:lvl w:ilvl="0" w:tentative="0">
      <w:start w:val="1"/>
      <w:numFmt w:val="chineseCounting"/>
      <w:suff w:val="nothing"/>
      <w:lvlText w:val="%1、"/>
      <w:lvlJc w:val="left"/>
      <w:pPr>
        <w:ind w:left="0" w:firstLine="420"/>
      </w:pPr>
      <w:rPr>
        <w:rFonts w:hint="eastAsia"/>
      </w:rPr>
    </w:lvl>
  </w:abstractNum>
  <w:abstractNum w:abstractNumId="2">
    <w:nsid w:val="DCBBF811"/>
    <w:multiLevelType w:val="singleLevel"/>
    <w:tmpl w:val="DCBBF811"/>
    <w:lvl w:ilvl="0" w:tentative="0">
      <w:start w:val="1"/>
      <w:numFmt w:val="decimal"/>
      <w:lvlText w:val="%1."/>
      <w:lvlJc w:val="left"/>
      <w:pPr>
        <w:ind w:left="425" w:hanging="425"/>
      </w:pPr>
      <w:rPr>
        <w:rFonts w:hint="default"/>
      </w:rPr>
    </w:lvl>
  </w:abstractNum>
  <w:abstractNum w:abstractNumId="3">
    <w:nsid w:val="36D191AC"/>
    <w:multiLevelType w:val="singleLevel"/>
    <w:tmpl w:val="36D191AC"/>
    <w:lvl w:ilvl="0" w:tentative="0">
      <w:start w:val="1"/>
      <w:numFmt w:val="upperLetter"/>
      <w:lvlText w:val="%1."/>
      <w:lvlJc w:val="left"/>
      <w:pPr>
        <w:ind w:left="425" w:hanging="425"/>
      </w:pPr>
      <w:rPr>
        <w:rFonts w:hint="default"/>
      </w:rPr>
    </w:lvl>
  </w:abstractNum>
  <w:abstractNum w:abstractNumId="4">
    <w:nsid w:val="44C25110"/>
    <w:multiLevelType w:val="singleLevel"/>
    <w:tmpl w:val="44C25110"/>
    <w:lvl w:ilvl="0" w:tentative="0">
      <w:start w:val="1"/>
      <w:numFmt w:val="chineseCounting"/>
      <w:suff w:val="nothing"/>
      <w:lvlText w:val="（%1）"/>
      <w:lvlJc w:val="left"/>
      <w:pPr>
        <w:ind w:left="0" w:firstLine="420"/>
      </w:pPr>
      <w:rPr>
        <w:rFonts w:hint="eastAsia" w:ascii="楷体" w:hAnsi="楷体" w:eastAsia="楷体" w:cs="楷体"/>
      </w:rPr>
    </w:lvl>
  </w:abstractNum>
  <w:abstractNum w:abstractNumId="5">
    <w:nsid w:val="4C8217AF"/>
    <w:multiLevelType w:val="singleLevel"/>
    <w:tmpl w:val="4C8217AF"/>
    <w:lvl w:ilvl="0" w:tentative="0">
      <w:start w:val="1"/>
      <w:numFmt w:val="decimal"/>
      <w:lvlText w:val="%1."/>
      <w:lvlJc w:val="left"/>
      <w:pPr>
        <w:ind w:left="425" w:hanging="425"/>
      </w:pPr>
      <w:rPr>
        <w:rFonts w:hint="default"/>
      </w:rPr>
    </w:lvl>
  </w:abstractNum>
  <w:abstractNum w:abstractNumId="6">
    <w:nsid w:val="676EC9EB"/>
    <w:multiLevelType w:val="singleLevel"/>
    <w:tmpl w:val="676EC9EB"/>
    <w:lvl w:ilvl="0" w:tentative="0">
      <w:start w:val="1"/>
      <w:numFmt w:val="chineseCounting"/>
      <w:suff w:val="nothing"/>
      <w:lvlText w:val="（%1）"/>
      <w:lvlJc w:val="left"/>
      <w:pPr>
        <w:ind w:left="0" w:firstLine="420"/>
      </w:pPr>
      <w:rPr>
        <w:rFonts w:hint="eastAsia"/>
      </w:rPr>
    </w:lvl>
  </w:abstractNum>
  <w:num w:numId="1">
    <w:abstractNumId w:val="1"/>
  </w:num>
  <w:num w:numId="2">
    <w:abstractNumId w:val="6"/>
  </w:num>
  <w:num w:numId="3">
    <w:abstractNumId w:val="5"/>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MzUxMTIwN2FhMzRmMWQwMjcwZmM5MTM2ZmI2NDQifQ=="/>
  </w:docVars>
  <w:rsids>
    <w:rsidRoot w:val="00172A27"/>
    <w:rsid w:val="001304E0"/>
    <w:rsid w:val="01804A4C"/>
    <w:rsid w:val="0B50723E"/>
    <w:rsid w:val="0BB04902"/>
    <w:rsid w:val="0DA87C88"/>
    <w:rsid w:val="18102849"/>
    <w:rsid w:val="197D06BD"/>
    <w:rsid w:val="1C136791"/>
    <w:rsid w:val="1C76287C"/>
    <w:rsid w:val="1FF561AE"/>
    <w:rsid w:val="21CA7725"/>
    <w:rsid w:val="24415E66"/>
    <w:rsid w:val="2A206C9C"/>
    <w:rsid w:val="2DD37B2E"/>
    <w:rsid w:val="2E7E34D1"/>
    <w:rsid w:val="31C85DFF"/>
    <w:rsid w:val="324E00CB"/>
    <w:rsid w:val="371B42F4"/>
    <w:rsid w:val="3DC54FBA"/>
    <w:rsid w:val="43BD0E45"/>
    <w:rsid w:val="47ED3A8B"/>
    <w:rsid w:val="5FA3411A"/>
    <w:rsid w:val="6894168D"/>
    <w:rsid w:val="6A7A589F"/>
    <w:rsid w:val="6D620248"/>
    <w:rsid w:val="76415063"/>
    <w:rsid w:val="7CCD740C"/>
    <w:rsid w:val="7CF36E72"/>
    <w:rsid w:val="7ED53F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9"/>
    <w:pPr>
      <w:keepNext/>
      <w:keepLines/>
      <w:spacing w:before="260" w:after="260" w:line="416" w:lineRule="auto"/>
      <w:outlineLvl w:val="1"/>
    </w:pPr>
    <w:rPr>
      <w:rFonts w:ascii="Cambria" w:hAnsi="Cambria"/>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20" w:lineRule="auto"/>
    </w:pPr>
    <w:rPr>
      <w:sz w:val="24"/>
    </w:rPr>
  </w:style>
  <w:style w:type="paragraph" w:styleId="3">
    <w:name w:val="toc 7"/>
    <w:basedOn w:val="1"/>
    <w:next w:val="1"/>
    <w:qFormat/>
    <w:uiPriority w:val="0"/>
    <w:pPr>
      <w:ind w:left="2520" w:leftChars="1200"/>
    </w:pPr>
    <w:rPr>
      <w:rFonts w:ascii="Times New Roman" w:hAnsi="Times New Roman"/>
      <w:sz w:val="28"/>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333333"/>
      <w:u w:val="none"/>
    </w:rPr>
  </w:style>
  <w:style w:type="character" w:styleId="12">
    <w:name w:val="Hyperlink"/>
    <w:basedOn w:val="10"/>
    <w:qFormat/>
    <w:uiPriority w:val="0"/>
    <w:rPr>
      <w:color w:val="333333"/>
      <w:u w:val="none"/>
    </w:rPr>
  </w:style>
  <w:style w:type="character" w:customStyle="1" w:styleId="13">
    <w:name w:val="f"/>
    <w:basedOn w:val="1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DANA</cp:lastModifiedBy>
  <dcterms:modified xsi:type="dcterms:W3CDTF">2023-09-22T06:51:55Z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8CB26C8F59C8440AA107224D8A7917DC_13</vt:lpwstr>
  </property>
</Properties>
</file>