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sz w:val="44"/>
          <w:szCs w:val="44"/>
        </w:rPr>
      </w:pPr>
      <w:r>
        <w:rPr>
          <w:rFonts w:hint="eastAsia" w:ascii="方正小标宋简体" w:hAnsi="仿宋" w:eastAsia="方正小标宋简体"/>
          <w:sz w:val="44"/>
          <w:szCs w:val="44"/>
        </w:rPr>
        <w:t>资产及其他评估服务品目需求标准</w:t>
      </w:r>
    </w:p>
    <w:p>
      <w:pPr>
        <w:snapToGrid w:val="0"/>
        <w:spacing w:line="700" w:lineRule="exact"/>
        <w:jc w:val="center"/>
        <w:rPr>
          <w:rFonts w:ascii="仿宋" w:hAnsi="仿宋" w:eastAsia="仿宋"/>
          <w:sz w:val="32"/>
          <w:szCs w:val="32"/>
        </w:rPr>
      </w:pPr>
      <w:r>
        <w:rPr>
          <w:rFonts w:hint="eastAsia" w:ascii="华文楷体" w:hAnsi="华文楷体" w:eastAsia="华文楷体" w:cs="方正小标宋简体"/>
          <w:bCs/>
          <w:sz w:val="32"/>
          <w:szCs w:val="32"/>
        </w:rPr>
        <w:t>（征求意见稿）</w:t>
      </w:r>
    </w:p>
    <w:p>
      <w:pPr>
        <w:rPr>
          <w:rFonts w:ascii="黑体" w:hAnsi="黑体" w:eastAsia="黑体"/>
          <w:sz w:val="32"/>
          <w:szCs w:val="32"/>
        </w:rPr>
      </w:pPr>
      <w:r>
        <w:rPr>
          <w:rFonts w:hint="eastAsia" w:ascii="黑体" w:hAnsi="黑体" w:eastAsia="黑体"/>
          <w:sz w:val="32"/>
          <w:szCs w:val="32"/>
        </w:rPr>
        <w:t>一、供应商的资格条件</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（一）满足《中华人民共和国政府采购法》第二十二条规定，即：</w:t>
      </w:r>
    </w:p>
    <w:p>
      <w:pPr>
        <w:widowControl/>
        <w:snapToGrid w:val="0"/>
        <w:spacing w:line="520" w:lineRule="exact"/>
        <w:ind w:firstLine="840" w:firstLineChars="300"/>
        <w:jc w:val="left"/>
        <w:rPr>
          <w:rFonts w:ascii="仿宋" w:hAnsi="仿宋" w:eastAsia="仿宋"/>
          <w:bCs/>
          <w:sz w:val="28"/>
          <w:szCs w:val="28"/>
        </w:rPr>
      </w:pPr>
      <w:r>
        <w:rPr>
          <w:rFonts w:hint="eastAsia" w:ascii="仿宋" w:hAnsi="仿宋" w:eastAsia="仿宋"/>
          <w:bCs/>
          <w:sz w:val="28"/>
          <w:szCs w:val="28"/>
        </w:rPr>
        <w:t>1</w:t>
      </w:r>
      <w:r>
        <w:rPr>
          <w:rFonts w:ascii="仿宋" w:hAnsi="仿宋" w:eastAsia="仿宋"/>
          <w:bCs/>
          <w:sz w:val="28"/>
          <w:szCs w:val="28"/>
        </w:rPr>
        <w:t>.</w:t>
      </w:r>
      <w:r>
        <w:rPr>
          <w:rFonts w:hint="eastAsia" w:ascii="仿宋" w:hAnsi="仿宋" w:eastAsia="仿宋"/>
          <w:bCs/>
          <w:sz w:val="28"/>
          <w:szCs w:val="28"/>
        </w:rPr>
        <w:t>具有独立承担民事责任的能力；</w:t>
      </w:r>
    </w:p>
    <w:p>
      <w:pPr>
        <w:widowControl/>
        <w:snapToGrid w:val="0"/>
        <w:spacing w:line="520" w:lineRule="exact"/>
        <w:ind w:firstLine="840" w:firstLineChars="300"/>
        <w:jc w:val="left"/>
        <w:rPr>
          <w:rFonts w:ascii="仿宋" w:hAnsi="仿宋" w:eastAsia="仿宋"/>
          <w:bCs/>
          <w:sz w:val="28"/>
          <w:szCs w:val="28"/>
        </w:rPr>
      </w:pPr>
      <w:r>
        <w:rPr>
          <w:rFonts w:hint="eastAsia" w:ascii="仿宋" w:hAnsi="仿宋" w:eastAsia="仿宋"/>
          <w:bCs/>
          <w:sz w:val="28"/>
          <w:szCs w:val="28"/>
        </w:rPr>
        <w:t>2</w:t>
      </w:r>
      <w:r>
        <w:rPr>
          <w:rFonts w:ascii="仿宋" w:hAnsi="仿宋" w:eastAsia="仿宋"/>
          <w:bCs/>
          <w:sz w:val="28"/>
          <w:szCs w:val="28"/>
        </w:rPr>
        <w:t>.</w:t>
      </w:r>
      <w:r>
        <w:rPr>
          <w:rFonts w:hint="eastAsia" w:ascii="仿宋" w:hAnsi="仿宋" w:eastAsia="仿宋"/>
          <w:bCs/>
          <w:sz w:val="28"/>
          <w:szCs w:val="28"/>
        </w:rPr>
        <w:t>具有良好的商业信誉和健全的财务会计制度；</w:t>
      </w:r>
    </w:p>
    <w:p>
      <w:pPr>
        <w:widowControl/>
        <w:snapToGrid w:val="0"/>
        <w:spacing w:line="520" w:lineRule="exact"/>
        <w:ind w:firstLine="840" w:firstLineChars="300"/>
        <w:jc w:val="left"/>
        <w:rPr>
          <w:rFonts w:ascii="仿宋" w:hAnsi="仿宋" w:eastAsia="仿宋"/>
          <w:bCs/>
          <w:sz w:val="28"/>
          <w:szCs w:val="28"/>
        </w:rPr>
      </w:pPr>
      <w:r>
        <w:rPr>
          <w:rFonts w:hint="eastAsia" w:ascii="仿宋" w:hAnsi="仿宋" w:eastAsia="仿宋"/>
          <w:bCs/>
          <w:sz w:val="28"/>
          <w:szCs w:val="28"/>
        </w:rPr>
        <w:t>3</w:t>
      </w:r>
      <w:r>
        <w:rPr>
          <w:rFonts w:ascii="仿宋" w:hAnsi="仿宋" w:eastAsia="仿宋"/>
          <w:bCs/>
          <w:sz w:val="28"/>
          <w:szCs w:val="28"/>
        </w:rPr>
        <w:t>.</w:t>
      </w:r>
      <w:r>
        <w:rPr>
          <w:rFonts w:hint="eastAsia" w:ascii="仿宋" w:hAnsi="仿宋" w:eastAsia="仿宋"/>
          <w:bCs/>
          <w:sz w:val="28"/>
          <w:szCs w:val="28"/>
        </w:rPr>
        <w:t>具有履行合同所必需的设备和专业技术能力；</w:t>
      </w:r>
    </w:p>
    <w:p>
      <w:pPr>
        <w:widowControl/>
        <w:snapToGrid w:val="0"/>
        <w:spacing w:line="520" w:lineRule="exact"/>
        <w:ind w:firstLine="840" w:firstLineChars="300"/>
        <w:jc w:val="left"/>
        <w:rPr>
          <w:rFonts w:ascii="仿宋" w:hAnsi="仿宋" w:eastAsia="仿宋"/>
          <w:bCs/>
          <w:sz w:val="28"/>
          <w:szCs w:val="28"/>
        </w:rPr>
      </w:pPr>
      <w:r>
        <w:rPr>
          <w:rFonts w:hint="eastAsia" w:ascii="仿宋" w:hAnsi="仿宋" w:eastAsia="仿宋"/>
          <w:bCs/>
          <w:sz w:val="28"/>
          <w:szCs w:val="28"/>
        </w:rPr>
        <w:t>4</w:t>
      </w:r>
      <w:r>
        <w:rPr>
          <w:rFonts w:ascii="仿宋" w:hAnsi="仿宋" w:eastAsia="仿宋"/>
          <w:bCs/>
          <w:sz w:val="28"/>
          <w:szCs w:val="28"/>
        </w:rPr>
        <w:t>.</w:t>
      </w:r>
      <w:r>
        <w:rPr>
          <w:rFonts w:hint="eastAsia" w:ascii="仿宋" w:hAnsi="仿宋" w:eastAsia="仿宋"/>
          <w:bCs/>
          <w:sz w:val="28"/>
          <w:szCs w:val="28"/>
        </w:rPr>
        <w:t>有依法缴纳税收和社会保障资金的良好记录；</w:t>
      </w:r>
    </w:p>
    <w:p>
      <w:pPr>
        <w:widowControl/>
        <w:snapToGrid w:val="0"/>
        <w:spacing w:line="520" w:lineRule="exact"/>
        <w:ind w:firstLine="840" w:firstLineChars="300"/>
        <w:jc w:val="left"/>
        <w:rPr>
          <w:rFonts w:ascii="仿宋" w:hAnsi="仿宋" w:eastAsia="仿宋"/>
          <w:bCs/>
          <w:sz w:val="28"/>
          <w:szCs w:val="28"/>
        </w:rPr>
      </w:pPr>
      <w:r>
        <w:rPr>
          <w:rFonts w:hint="eastAsia" w:ascii="仿宋" w:hAnsi="仿宋" w:eastAsia="仿宋"/>
          <w:bCs/>
          <w:sz w:val="28"/>
          <w:szCs w:val="28"/>
        </w:rPr>
        <w:t>5</w:t>
      </w:r>
      <w:r>
        <w:rPr>
          <w:rFonts w:ascii="仿宋" w:hAnsi="仿宋" w:eastAsia="仿宋"/>
          <w:bCs/>
          <w:sz w:val="28"/>
          <w:szCs w:val="28"/>
        </w:rPr>
        <w:t>.</w:t>
      </w:r>
      <w:r>
        <w:rPr>
          <w:rFonts w:hint="eastAsia" w:ascii="仿宋" w:hAnsi="仿宋" w:eastAsia="仿宋"/>
          <w:bCs/>
          <w:sz w:val="28"/>
          <w:szCs w:val="28"/>
        </w:rPr>
        <w:t>参加政府采购活动前三年内，在经营活动中没有重大违法记录；</w:t>
      </w:r>
    </w:p>
    <w:p>
      <w:pPr>
        <w:widowControl/>
        <w:snapToGrid w:val="0"/>
        <w:spacing w:line="520" w:lineRule="exact"/>
        <w:ind w:firstLine="840" w:firstLineChars="300"/>
        <w:jc w:val="left"/>
        <w:rPr>
          <w:rFonts w:ascii="仿宋" w:hAnsi="仿宋" w:eastAsia="仿宋"/>
          <w:bCs/>
          <w:sz w:val="28"/>
          <w:szCs w:val="28"/>
        </w:rPr>
      </w:pPr>
      <w:r>
        <w:rPr>
          <w:rFonts w:hint="eastAsia" w:ascii="仿宋" w:hAnsi="仿宋" w:eastAsia="仿宋"/>
          <w:bCs/>
          <w:sz w:val="28"/>
          <w:szCs w:val="28"/>
        </w:rPr>
        <w:t>6</w:t>
      </w:r>
      <w:r>
        <w:rPr>
          <w:rFonts w:ascii="仿宋" w:hAnsi="仿宋" w:eastAsia="仿宋"/>
          <w:bCs/>
          <w:sz w:val="28"/>
          <w:szCs w:val="28"/>
        </w:rPr>
        <w:t>.</w:t>
      </w:r>
      <w:r>
        <w:rPr>
          <w:rFonts w:hint="eastAsia" w:ascii="仿宋" w:hAnsi="仿宋" w:eastAsia="仿宋"/>
          <w:bCs/>
          <w:sz w:val="28"/>
          <w:szCs w:val="28"/>
        </w:rPr>
        <w:t>法律、行政法规规定的其他条件。</w:t>
      </w:r>
    </w:p>
    <w:p>
      <w:pPr>
        <w:widowControl/>
        <w:snapToGrid w:val="0"/>
        <w:spacing w:line="520" w:lineRule="exact"/>
        <w:ind w:firstLine="560" w:firstLineChars="200"/>
        <w:jc w:val="left"/>
        <w:rPr>
          <w:rFonts w:ascii="仿宋" w:hAnsi="仿宋" w:eastAsia="仿宋"/>
          <w:bCs/>
          <w:sz w:val="28"/>
          <w:szCs w:val="28"/>
        </w:rPr>
      </w:pPr>
      <w:r>
        <w:rPr>
          <w:rFonts w:hint="eastAsia" w:ascii="仿宋" w:hAnsi="仿宋" w:eastAsia="仿宋"/>
          <w:bCs/>
          <w:sz w:val="28"/>
          <w:szCs w:val="28"/>
        </w:rPr>
        <w:t>（二）未被列入失信被执行人、重大税收违法案件当事人名单，未被列入政府采购严重违法失信行为记录名单。</w:t>
      </w:r>
    </w:p>
    <w:p>
      <w:pPr>
        <w:widowControl/>
        <w:snapToGrid w:val="0"/>
        <w:spacing w:line="520" w:lineRule="exact"/>
        <w:ind w:firstLine="560" w:firstLineChars="200"/>
        <w:jc w:val="left"/>
        <w:rPr>
          <w:rFonts w:hint="eastAsia" w:ascii="仿宋" w:hAnsi="仿宋" w:eastAsia="仿宋"/>
          <w:bCs/>
          <w:sz w:val="28"/>
          <w:szCs w:val="28"/>
        </w:rPr>
      </w:pPr>
      <w:r>
        <w:rPr>
          <w:rFonts w:hint="eastAsia" w:ascii="仿宋" w:hAnsi="仿宋" w:eastAsia="仿宋"/>
          <w:bCs/>
          <w:sz w:val="28"/>
          <w:szCs w:val="28"/>
        </w:rPr>
        <w:t>（三）落实政府采购政策需满足的资格要求：专门面向中小微企业</w:t>
      </w:r>
    </w:p>
    <w:p>
      <w:pPr>
        <w:widowControl/>
        <w:snapToGrid w:val="0"/>
        <w:spacing w:line="520" w:lineRule="exact"/>
        <w:ind w:firstLine="560" w:firstLineChars="200"/>
        <w:jc w:val="left"/>
        <w:rPr>
          <w:rFonts w:hint="eastAsia" w:ascii="仿宋" w:hAnsi="仿宋" w:eastAsia="仿宋"/>
          <w:bCs/>
          <w:sz w:val="28"/>
          <w:szCs w:val="28"/>
          <w:lang w:eastAsia="zh-CN"/>
        </w:rPr>
      </w:pPr>
      <w:r>
        <w:rPr>
          <w:rFonts w:hint="eastAsia" w:ascii="仿宋" w:hAnsi="仿宋" w:eastAsia="仿宋"/>
          <w:bCs/>
          <w:sz w:val="28"/>
          <w:szCs w:val="28"/>
        </w:rPr>
        <w:t>（四）本项目的特定资格要求：</w:t>
      </w:r>
      <w:r>
        <w:rPr>
          <w:rFonts w:hint="eastAsia" w:ascii="宋体" w:hAnsi="宋体" w:eastAsia="宋体" w:cs="Times New Roman"/>
          <w:color w:val="0C0C0C"/>
          <w:sz w:val="24"/>
          <w:szCs w:val="24"/>
          <w:lang w:eastAsia="zh-CN"/>
        </w:rPr>
        <w:t>不接受联合体投标、不接受分公司投标</w:t>
      </w:r>
      <w:r>
        <w:rPr>
          <w:rFonts w:hint="eastAsia" w:ascii="仿宋" w:hAnsi="仿宋" w:eastAsia="仿宋"/>
          <w:bCs/>
          <w:sz w:val="28"/>
          <w:szCs w:val="28"/>
          <w:lang w:eastAsia="zh-CN"/>
        </w:rPr>
        <w:t>。</w:t>
      </w:r>
    </w:p>
    <w:p>
      <w:pPr>
        <w:widowControl/>
        <w:snapToGrid w:val="0"/>
        <w:spacing w:line="520" w:lineRule="exact"/>
        <w:ind w:firstLine="562" w:firstLineChars="200"/>
        <w:jc w:val="left"/>
        <w:rPr>
          <w:rFonts w:hint="eastAsia" w:ascii="仿宋" w:hAnsi="仿宋" w:eastAsia="仿宋"/>
          <w:bCs/>
          <w:sz w:val="28"/>
          <w:szCs w:val="28"/>
        </w:rPr>
      </w:pPr>
      <w:r>
        <w:rPr>
          <w:rFonts w:hint="eastAsia" w:ascii="仿宋" w:hAnsi="仿宋" w:eastAsia="仿宋"/>
          <w:b/>
          <w:bCs w:val="0"/>
          <w:sz w:val="28"/>
          <w:szCs w:val="28"/>
          <w:lang w:eastAsia="zh-CN"/>
        </w:rPr>
        <w:t>注：</w:t>
      </w:r>
      <w:r>
        <w:rPr>
          <w:rFonts w:hint="eastAsia" w:ascii="仿宋" w:hAnsi="仿宋" w:eastAsia="仿宋"/>
          <w:bCs/>
          <w:sz w:val="28"/>
          <w:szCs w:val="28"/>
        </w:rPr>
        <w:t>本项目采用价格优先法进行评审</w:t>
      </w:r>
      <w:r>
        <w:rPr>
          <w:rFonts w:hint="eastAsia" w:ascii="仿宋" w:hAnsi="仿宋" w:eastAsia="仿宋"/>
          <w:bCs/>
          <w:sz w:val="28"/>
          <w:szCs w:val="28"/>
          <w:lang w:eastAsia="zh-CN"/>
        </w:rPr>
        <w:t>。</w:t>
      </w:r>
      <w:r>
        <w:rPr>
          <w:rFonts w:hint="eastAsia" w:ascii="仿宋" w:hAnsi="仿宋" w:eastAsia="仿宋"/>
          <w:bCs/>
          <w:sz w:val="28"/>
          <w:szCs w:val="28"/>
        </w:rPr>
        <w:t>入围供应商的淘汰比例：20%，且至少淘汰一家供应商（提交响应文件和符合资格条件、实质性要求的供应商少于 2 家时，采购活动终止）。</w:t>
      </w:r>
    </w:p>
    <w:p>
      <w:pPr>
        <w:widowControl/>
        <w:snapToGrid w:val="0"/>
        <w:spacing w:line="520" w:lineRule="exact"/>
        <w:ind w:firstLine="560" w:firstLineChars="200"/>
        <w:jc w:val="left"/>
        <w:rPr>
          <w:rFonts w:hint="eastAsia" w:ascii="仿宋" w:hAnsi="仿宋" w:eastAsia="仿宋"/>
          <w:bCs/>
          <w:sz w:val="28"/>
          <w:szCs w:val="28"/>
          <w:lang w:val="zh-CN"/>
        </w:rPr>
      </w:pPr>
      <w:r>
        <w:rPr>
          <w:rFonts w:hint="eastAsia" w:ascii="仿宋" w:hAnsi="仿宋" w:eastAsia="仿宋"/>
          <w:bCs/>
          <w:sz w:val="28"/>
          <w:szCs w:val="28"/>
          <w:lang w:val="zh-CN"/>
        </w:rPr>
        <w:t>若计算的淘汰数非整数，则按照向上取整原则进行处理。即，淘汰数量=向上取整[供应商数量×20%]（示例：如有11家供应商投标，淘汰数量=向上取整[11×20%]=向上取整[2.2]=3,最终实际淘汰3家供应商）。</w:t>
      </w:r>
    </w:p>
    <w:p>
      <w:pPr>
        <w:widowControl/>
        <w:snapToGrid w:val="0"/>
        <w:spacing w:line="520" w:lineRule="exact"/>
        <w:ind w:firstLine="560" w:firstLineChars="200"/>
        <w:jc w:val="left"/>
        <w:rPr>
          <w:rFonts w:hint="eastAsia" w:ascii="仿宋" w:hAnsi="仿宋" w:eastAsia="仿宋"/>
          <w:bCs/>
          <w:sz w:val="28"/>
          <w:szCs w:val="28"/>
          <w:lang w:val="zh-CN" w:eastAsia="zh-CN"/>
        </w:rPr>
      </w:pPr>
      <w:r>
        <w:rPr>
          <w:rFonts w:hint="eastAsia" w:ascii="仿宋" w:hAnsi="仿宋" w:eastAsia="仿宋"/>
          <w:bCs/>
          <w:sz w:val="28"/>
          <w:szCs w:val="28"/>
          <w:lang w:val="zh-CN" w:eastAsia="zh-CN"/>
        </w:rPr>
        <w:t>为防止报价趋同导致大量供应商进入淘汰名次（如：项目共计 100 家投标人参与投标，若 70 家报价为 80％，30 家报价为 90％，则报价为 90 ％ 的 30 家全部淘汰； 若 70 家报价为 80 ％， 1 家报价为89.99％，29 家报价为 90％，则报价为 90％的 29 家全部淘汰），请供应商报价至小数点后二位数。如 80.25％或 95.32％等。</w:t>
      </w:r>
    </w:p>
    <w:p>
      <w:pPr>
        <w:widowControl/>
        <w:snapToGrid w:val="0"/>
        <w:spacing w:line="520" w:lineRule="exact"/>
        <w:ind w:firstLine="560" w:firstLineChars="200"/>
        <w:jc w:val="left"/>
        <w:rPr>
          <w:rFonts w:hint="eastAsia" w:ascii="仿宋" w:hAnsi="仿宋" w:eastAsia="仿宋"/>
          <w:bCs/>
          <w:sz w:val="28"/>
          <w:szCs w:val="28"/>
          <w:lang w:eastAsia="zh-CN"/>
        </w:rPr>
      </w:pPr>
      <w:r>
        <w:rPr>
          <w:rFonts w:hint="eastAsia" w:ascii="仿宋" w:hAnsi="仿宋" w:eastAsia="仿宋"/>
          <w:bCs/>
          <w:sz w:val="28"/>
          <w:szCs w:val="28"/>
          <w:lang w:val="zh-CN" w:eastAsia="zh-CN"/>
        </w:rPr>
        <w:t>本次征集活动中入围供应商的报价（即协议价格），是后续采购人或服务对象确定第二阶段具体项目成交供应商的最高限价。</w:t>
      </w:r>
    </w:p>
    <w:p>
      <w:pPr>
        <w:widowControl/>
        <w:snapToGrid w:val="0"/>
        <w:spacing w:line="520" w:lineRule="exact"/>
        <w:ind w:firstLine="560" w:firstLineChars="200"/>
        <w:jc w:val="left"/>
        <w:rPr>
          <w:rFonts w:hint="eastAsia" w:ascii="仿宋" w:hAnsi="仿宋" w:eastAsia="仿宋"/>
          <w:bCs/>
          <w:sz w:val="28"/>
          <w:szCs w:val="28"/>
        </w:rPr>
      </w:pPr>
      <w:r>
        <w:rPr>
          <w:rFonts w:hint="eastAsia" w:ascii="仿宋" w:hAnsi="仿宋" w:eastAsia="仿宋"/>
          <w:bCs/>
          <w:sz w:val="28"/>
          <w:szCs w:val="28"/>
        </w:rPr>
        <w:br w:type="page"/>
      </w:r>
    </w:p>
    <w:p>
      <w:pPr>
        <w:pStyle w:val="14"/>
        <w:numPr>
          <w:ilvl w:val="0"/>
          <w:numId w:val="0"/>
        </w:numPr>
        <w:tabs>
          <w:tab w:val="left" w:pos="1760"/>
        </w:tabs>
        <w:spacing w:before="251" w:after="0" w:line="408" w:lineRule="auto"/>
        <w:ind w:leftChars="200" w:right="365" w:rightChars="0" w:firstLine="540" w:firstLineChars="200"/>
        <w:jc w:val="both"/>
        <w:rPr>
          <w:rFonts w:hint="eastAsia"/>
          <w:spacing w:val="-5"/>
          <w:sz w:val="28"/>
          <w:lang w:val="en-US" w:eastAsia="zh-CN"/>
        </w:rPr>
        <w:sectPr>
          <w:pgSz w:w="11910" w:h="16840"/>
          <w:pgMar w:top="1200" w:right="1220" w:bottom="1340" w:left="560" w:header="987" w:footer="1150" w:gutter="0"/>
          <w:cols w:space="720" w:num="1"/>
        </w:sectPr>
      </w:pPr>
    </w:p>
    <w:p>
      <w:pPr>
        <w:pStyle w:val="4"/>
        <w:jc w:val="center"/>
        <w:rPr>
          <w:rFonts w:ascii="黑体" w:hAnsi="黑体" w:eastAsia="黑体"/>
        </w:rPr>
      </w:pPr>
      <w:bookmarkStart w:id="0" w:name="_Toc15722"/>
      <w:bookmarkStart w:id="1" w:name="_Toc22495"/>
      <w:r>
        <w:rPr>
          <w:rFonts w:hint="eastAsia" w:ascii="黑体" w:hAnsi="黑体" w:eastAsia="黑体"/>
        </w:rPr>
        <w:t>第三章   项目服务要求</w:t>
      </w:r>
      <w:bookmarkEnd w:id="0"/>
      <w:bookmarkEnd w:id="1"/>
    </w:p>
    <w:p>
      <w:pPr>
        <w:pStyle w:val="5"/>
        <w:numPr>
          <w:ilvl w:val="0"/>
          <w:numId w:val="1"/>
        </w:numPr>
        <w:tabs>
          <w:tab w:val="left" w:pos="0"/>
        </w:tabs>
        <w:spacing w:before="200" w:after="200" w:line="360" w:lineRule="auto"/>
        <w:rPr>
          <w:sz w:val="30"/>
          <w:szCs w:val="30"/>
        </w:rPr>
      </w:pPr>
      <w:bookmarkStart w:id="2" w:name="_Toc11820"/>
      <w:bookmarkStart w:id="3" w:name="_Toc12408"/>
      <w:bookmarkStart w:id="4" w:name="_Toc495861536"/>
      <w:bookmarkStart w:id="5" w:name="_Toc494561955"/>
      <w:bookmarkStart w:id="6" w:name="_Toc30526"/>
      <w:bookmarkStart w:id="7" w:name="_Toc9708"/>
      <w:bookmarkStart w:id="8" w:name="_Toc8596"/>
      <w:bookmarkStart w:id="9" w:name="_Toc498423543"/>
      <w:bookmarkStart w:id="10" w:name="_Toc24401"/>
      <w:r>
        <w:rPr>
          <w:rFonts w:hint="eastAsia"/>
          <w:sz w:val="30"/>
          <w:szCs w:val="30"/>
        </w:rPr>
        <w:t>项目概况</w:t>
      </w:r>
      <w:bookmarkEnd w:id="2"/>
      <w:bookmarkEnd w:id="3"/>
    </w:p>
    <w:bookmarkEnd w:id="4"/>
    <w:bookmarkEnd w:id="5"/>
    <w:bookmarkEnd w:id="6"/>
    <w:bookmarkEnd w:id="7"/>
    <w:bookmarkEnd w:id="8"/>
    <w:bookmarkEnd w:id="9"/>
    <w:bookmarkEnd w:id="10"/>
    <w:p>
      <w:pPr>
        <w:ind w:firstLine="660"/>
        <w:rPr>
          <w:rFonts w:hint="eastAsia" w:ascii="仿宋" w:hAnsi="仿宋" w:eastAsia="仿宋" w:cs="Times New Roman"/>
          <w:sz w:val="32"/>
          <w:szCs w:val="32"/>
        </w:rPr>
      </w:pPr>
      <w:bookmarkStart w:id="11" w:name="_Toc30685"/>
      <w:bookmarkStart w:id="12" w:name="_Toc132"/>
      <w:r>
        <w:rPr>
          <w:rFonts w:hint="eastAsia" w:ascii="仿宋" w:hAnsi="仿宋" w:eastAsia="仿宋" w:cs="Times New Roman"/>
          <w:sz w:val="32"/>
          <w:szCs w:val="32"/>
          <w:lang w:eastAsia="zh-CN"/>
        </w:rPr>
        <w:t>（一）服务对象</w:t>
      </w:r>
      <w:r>
        <w:rPr>
          <w:rFonts w:hint="eastAsia" w:ascii="仿宋" w:hAnsi="仿宋" w:eastAsia="仿宋" w:cs="Times New Roman"/>
          <w:sz w:val="32"/>
          <w:szCs w:val="32"/>
        </w:rPr>
        <w:t>：大冶市行政</w:t>
      </w:r>
      <w:r>
        <w:rPr>
          <w:rFonts w:hint="eastAsia" w:ascii="仿宋" w:hAnsi="仿宋" w:eastAsia="仿宋" w:cs="Times New Roman"/>
          <w:sz w:val="32"/>
          <w:szCs w:val="32"/>
          <w:lang w:eastAsia="zh-CN"/>
        </w:rPr>
        <w:t>事业单位。</w:t>
      </w:r>
    </w:p>
    <w:p>
      <w:pPr>
        <w:ind w:firstLine="660"/>
        <w:rPr>
          <w:rFonts w:hint="eastAsia" w:ascii="仿宋" w:hAnsi="仿宋" w:eastAsia="仿宋" w:cs="Times New Roman"/>
          <w:sz w:val="32"/>
          <w:szCs w:val="32"/>
        </w:rPr>
      </w:pPr>
      <w:r>
        <w:rPr>
          <w:rFonts w:hint="eastAsia" w:ascii="仿宋" w:hAnsi="仿宋" w:eastAsia="仿宋" w:cs="Times New Roman"/>
          <w:sz w:val="32"/>
          <w:szCs w:val="32"/>
          <w:lang w:eastAsia="zh-CN"/>
        </w:rPr>
        <w:t>（二）</w:t>
      </w:r>
      <w:r>
        <w:rPr>
          <w:rFonts w:hint="eastAsia" w:ascii="仿宋" w:hAnsi="仿宋" w:eastAsia="仿宋" w:cs="Times New Roman"/>
          <w:sz w:val="32"/>
          <w:szCs w:val="32"/>
        </w:rPr>
        <w:t>框架协议的期限：框架协议签订之日起至202</w:t>
      </w:r>
      <w:r>
        <w:rPr>
          <w:rFonts w:hint="eastAsia" w:ascii="仿宋" w:hAnsi="仿宋" w:eastAsia="仿宋" w:cs="Times New Roman"/>
          <w:sz w:val="32"/>
          <w:szCs w:val="32"/>
          <w:lang w:val="en-US" w:eastAsia="zh-CN"/>
        </w:rPr>
        <w:t>5</w:t>
      </w:r>
      <w:r>
        <w:rPr>
          <w:rFonts w:hint="eastAsia" w:ascii="仿宋" w:hAnsi="仿宋" w:eastAsia="仿宋" w:cs="Times New Roman"/>
          <w:sz w:val="32"/>
          <w:szCs w:val="32"/>
        </w:rPr>
        <w:t>年12月31日止。</w:t>
      </w:r>
    </w:p>
    <w:p>
      <w:pPr>
        <w:ind w:firstLine="660"/>
        <w:rPr>
          <w:rFonts w:hint="eastAsia" w:ascii="仿宋" w:hAnsi="仿宋" w:eastAsia="仿宋" w:cs="Times New Roman"/>
          <w:sz w:val="32"/>
          <w:szCs w:val="32"/>
        </w:rPr>
      </w:pPr>
      <w:r>
        <w:rPr>
          <w:rFonts w:hint="eastAsia" w:ascii="仿宋" w:hAnsi="仿宋" w:eastAsia="仿宋" w:cs="Times New Roman"/>
          <w:sz w:val="32"/>
          <w:szCs w:val="32"/>
          <w:lang w:eastAsia="zh-CN"/>
        </w:rPr>
        <w:t>（三）</w:t>
      </w:r>
      <w:r>
        <w:rPr>
          <w:rFonts w:hint="eastAsia" w:ascii="仿宋" w:hAnsi="仿宋" w:eastAsia="仿宋" w:cs="Times New Roman"/>
          <w:sz w:val="32"/>
          <w:szCs w:val="32"/>
        </w:rPr>
        <w:t>采购内容：</w:t>
      </w:r>
      <w:r>
        <w:rPr>
          <w:rFonts w:hint="eastAsia" w:ascii="仿宋" w:hAnsi="仿宋" w:eastAsia="仿宋" w:cs="Times New Roman"/>
          <w:sz w:val="32"/>
          <w:szCs w:val="32"/>
          <w:lang w:eastAsia="zh-CN"/>
        </w:rPr>
        <w:t>资产评估服务采购</w:t>
      </w:r>
      <w:r>
        <w:rPr>
          <w:rFonts w:hint="eastAsia" w:ascii="仿宋" w:hAnsi="仿宋" w:eastAsia="仿宋" w:cs="Times New Roman"/>
          <w:sz w:val="32"/>
          <w:szCs w:val="32"/>
        </w:rPr>
        <w:t>。</w:t>
      </w:r>
    </w:p>
    <w:bookmarkEnd w:id="11"/>
    <w:bookmarkEnd w:id="12"/>
    <w:p>
      <w:pPr>
        <w:rPr>
          <w:rFonts w:ascii="楷体" w:hAnsi="楷体" w:eastAsia="楷体"/>
          <w:sz w:val="32"/>
          <w:szCs w:val="32"/>
        </w:rPr>
      </w:pPr>
      <w:r>
        <w:rPr>
          <w:rFonts w:hint="eastAsia" w:ascii="楷体" w:hAnsi="楷体" w:eastAsia="楷体"/>
          <w:sz w:val="32"/>
          <w:szCs w:val="32"/>
          <w:lang w:eastAsia="zh-CN"/>
        </w:rPr>
        <w:t>二、</w:t>
      </w:r>
      <w:r>
        <w:rPr>
          <w:rFonts w:hint="eastAsia" w:ascii="楷体" w:hAnsi="楷体" w:eastAsia="楷体"/>
          <w:sz w:val="32"/>
          <w:szCs w:val="32"/>
        </w:rPr>
        <w:t>服务内容</w:t>
      </w:r>
    </w:p>
    <w:p>
      <w:pPr>
        <w:ind w:firstLine="660"/>
        <w:rPr>
          <w:rFonts w:ascii="仿宋" w:hAnsi="仿宋" w:eastAsia="仿宋"/>
          <w:sz w:val="32"/>
          <w:szCs w:val="32"/>
        </w:rPr>
      </w:pPr>
      <w:r>
        <w:rPr>
          <w:rFonts w:hint="eastAsia" w:ascii="仿宋" w:hAnsi="仿宋" w:eastAsia="仿宋"/>
          <w:sz w:val="32"/>
          <w:szCs w:val="32"/>
        </w:rPr>
        <w:t>1.资产评估服务（不动产评估、无形资产评估、知识产权评估和新旧汽车的评估服务）。</w:t>
      </w:r>
    </w:p>
    <w:p>
      <w:pPr>
        <w:ind w:firstLine="660"/>
        <w:rPr>
          <w:rFonts w:ascii="仿宋" w:hAnsi="仿宋" w:eastAsia="仿宋"/>
          <w:sz w:val="32"/>
          <w:szCs w:val="32"/>
        </w:rPr>
      </w:pPr>
      <w:r>
        <w:rPr>
          <w:rFonts w:hint="eastAsia" w:ascii="仿宋" w:hAnsi="仿宋" w:eastAsia="仿宋"/>
          <w:sz w:val="32"/>
          <w:szCs w:val="32"/>
        </w:rPr>
        <w:t>2.其他资产及其他评估服务。</w:t>
      </w:r>
    </w:p>
    <w:p>
      <w:pPr>
        <w:ind w:firstLine="640" w:firstLineChars="200"/>
        <w:rPr>
          <w:rFonts w:hint="eastAsia" w:ascii="楷体" w:hAnsi="楷体" w:eastAsia="楷体"/>
          <w:sz w:val="32"/>
          <w:szCs w:val="32"/>
          <w:lang w:eastAsia="zh-CN"/>
        </w:rPr>
      </w:pPr>
      <w:r>
        <w:rPr>
          <w:rFonts w:hint="eastAsia" w:ascii="楷体" w:hAnsi="楷体" w:eastAsia="楷体"/>
          <w:sz w:val="32"/>
          <w:szCs w:val="32"/>
        </w:rPr>
        <w:t>（</w:t>
      </w:r>
      <w:r>
        <w:rPr>
          <w:rFonts w:hint="eastAsia" w:ascii="楷体" w:hAnsi="楷体" w:eastAsia="楷体"/>
          <w:sz w:val="32"/>
          <w:szCs w:val="32"/>
          <w:lang w:eastAsia="zh-CN"/>
        </w:rPr>
        <w:t>一</w:t>
      </w:r>
      <w:r>
        <w:rPr>
          <w:rFonts w:hint="eastAsia" w:ascii="楷体" w:hAnsi="楷体" w:eastAsia="楷体"/>
          <w:sz w:val="32"/>
          <w:szCs w:val="32"/>
        </w:rPr>
        <w:t>）</w:t>
      </w:r>
      <w:r>
        <w:rPr>
          <w:rFonts w:hint="eastAsia" w:ascii="楷体" w:hAnsi="楷体" w:eastAsia="楷体"/>
          <w:sz w:val="32"/>
          <w:szCs w:val="32"/>
          <w:lang w:eastAsia="zh-CN"/>
        </w:rPr>
        <w:t>技术及</w:t>
      </w:r>
      <w:r>
        <w:rPr>
          <w:rFonts w:hint="eastAsia" w:ascii="楷体" w:hAnsi="楷体" w:eastAsia="楷体"/>
          <w:sz w:val="32"/>
          <w:szCs w:val="32"/>
        </w:rPr>
        <w:t>服务</w:t>
      </w:r>
      <w:r>
        <w:rPr>
          <w:rFonts w:hint="eastAsia" w:ascii="楷体" w:hAnsi="楷体" w:eastAsia="楷体"/>
          <w:sz w:val="32"/>
          <w:szCs w:val="32"/>
          <w:lang w:eastAsia="zh-CN"/>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7" w:firstLineChars="0"/>
        <w:textAlignment w:val="auto"/>
        <w:rPr>
          <w:rFonts w:hint="eastAsia" w:ascii="宋体" w:hAnsi="宋体"/>
          <w:color w:val="0C0C0C"/>
          <w:sz w:val="28"/>
          <w:szCs w:val="28"/>
        </w:rPr>
      </w:pPr>
      <w:r>
        <w:rPr>
          <w:rFonts w:hint="eastAsia" w:ascii="宋体" w:hAnsi="宋体"/>
          <w:color w:val="0C0C0C"/>
          <w:sz w:val="28"/>
          <w:szCs w:val="28"/>
        </w:rPr>
        <w:t>严格按照《中华人民共和国资产评估法》</w:t>
      </w:r>
      <w:r>
        <w:rPr>
          <w:rFonts w:hint="eastAsia" w:ascii="宋体" w:hAnsi="宋体"/>
          <w:color w:val="0C0C0C"/>
          <w:sz w:val="28"/>
          <w:szCs w:val="28"/>
          <w:lang w:eastAsia="zh-CN"/>
        </w:rPr>
        <w:t>、财政部</w:t>
      </w:r>
      <w:r>
        <w:rPr>
          <w:rFonts w:hint="eastAsia" w:ascii="宋体" w:hAnsi="宋体"/>
          <w:color w:val="0C0C0C"/>
          <w:sz w:val="28"/>
          <w:szCs w:val="28"/>
        </w:rPr>
        <w:t>《</w:t>
      </w:r>
      <w:r>
        <w:rPr>
          <w:rFonts w:hint="eastAsia" w:ascii="宋体" w:hAnsi="宋体"/>
          <w:color w:val="0C0C0C"/>
          <w:sz w:val="28"/>
          <w:szCs w:val="28"/>
          <w:lang w:eastAsia="zh-CN"/>
        </w:rPr>
        <w:t>关于做好资产评估机构备案管理工作的通知</w:t>
      </w:r>
      <w:r>
        <w:rPr>
          <w:rFonts w:hint="eastAsia" w:ascii="宋体" w:hAnsi="宋体"/>
          <w:color w:val="0C0C0C"/>
          <w:sz w:val="28"/>
          <w:szCs w:val="28"/>
        </w:rPr>
        <w:t>》（财资〔2017〕26号）</w:t>
      </w:r>
      <w:r>
        <w:rPr>
          <w:rFonts w:hint="eastAsia" w:ascii="宋体" w:hAnsi="宋体"/>
          <w:color w:val="0C0C0C"/>
          <w:sz w:val="28"/>
          <w:szCs w:val="28"/>
          <w:lang w:eastAsia="zh-CN"/>
        </w:rPr>
        <w:t>及</w:t>
      </w:r>
      <w:r>
        <w:rPr>
          <w:rFonts w:hint="eastAsia" w:ascii="宋体" w:hAnsi="宋体"/>
          <w:color w:val="0C0C0C"/>
          <w:sz w:val="28"/>
          <w:szCs w:val="28"/>
        </w:rPr>
        <w:t>《湖北省资产评估行业财政监督管理办法》（鄂财绩规[2017]16号）为</w:t>
      </w:r>
      <w:r>
        <w:rPr>
          <w:rFonts w:hint="eastAsia" w:ascii="宋体" w:hAnsi="宋体"/>
          <w:color w:val="0C0C0C"/>
          <w:sz w:val="28"/>
          <w:szCs w:val="28"/>
          <w:lang w:eastAsia="zh-CN"/>
        </w:rPr>
        <w:t>市直</w:t>
      </w:r>
      <w:r>
        <w:rPr>
          <w:rFonts w:hint="eastAsia" w:ascii="宋体" w:hAnsi="宋体"/>
          <w:color w:val="0C0C0C"/>
          <w:sz w:val="28"/>
          <w:szCs w:val="28"/>
        </w:rPr>
        <w:t>机关各部门及其所属各级行政事业单位提供资产及其他评估服务。</w:t>
      </w:r>
      <w:r>
        <w:rPr>
          <w:rFonts w:hint="eastAsia" w:ascii="宋体" w:hAnsi="宋体" w:eastAsia="宋体" w:cs="宋体"/>
          <w:sz w:val="28"/>
          <w:szCs w:val="28"/>
          <w:lang w:val="en-US" w:eastAsia="zh-CN"/>
        </w:rPr>
        <w:t>（提供承诺函）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567" w:firstLineChars="0"/>
        <w:textAlignment w:val="auto"/>
        <w:rPr>
          <w:rFonts w:hint="eastAsia" w:ascii="宋体" w:hAnsi="宋体" w:eastAsia="宋体" w:cs="黑体"/>
          <w:color w:val="0C0C0C"/>
          <w:sz w:val="28"/>
          <w:szCs w:val="28"/>
        </w:rPr>
      </w:pPr>
      <w:r>
        <w:rPr>
          <w:rFonts w:hint="eastAsia" w:ascii="宋体" w:hAnsi="宋体" w:eastAsia="宋体" w:cs="黑体"/>
          <w:color w:val="0C0C0C"/>
          <w:sz w:val="28"/>
          <w:szCs w:val="28"/>
        </w:rPr>
        <w:t>对每一个具体资产评估项目,要根据不同的被资产评估对象和内容，按采购人的要求进行资产评估后</w:t>
      </w:r>
      <w:r>
        <w:rPr>
          <w:rFonts w:hint="eastAsia" w:ascii="宋体" w:hAnsi="宋体" w:eastAsia="宋体" w:cs="黑体"/>
          <w:color w:val="0C0C0C"/>
          <w:sz w:val="28"/>
          <w:szCs w:val="28"/>
          <w:lang w:eastAsia="zh-CN"/>
        </w:rPr>
        <w:t>，</w:t>
      </w:r>
      <w:r>
        <w:rPr>
          <w:rFonts w:hint="eastAsia" w:ascii="宋体" w:hAnsi="宋体" w:eastAsia="宋体" w:cs="黑体"/>
          <w:color w:val="0C0C0C"/>
          <w:sz w:val="28"/>
          <w:szCs w:val="28"/>
        </w:rPr>
        <w:t>提供规范的资产评估报告、资产评估证据资料等</w:t>
      </w:r>
      <w:r>
        <w:rPr>
          <w:rFonts w:hint="eastAsia" w:ascii="宋体" w:hAnsi="宋体" w:eastAsia="宋体" w:cs="黑体"/>
          <w:color w:val="0C0C0C"/>
          <w:sz w:val="28"/>
          <w:szCs w:val="28"/>
          <w:lang w:eastAsia="zh-CN"/>
        </w:rPr>
        <w:t>，并在</w:t>
      </w:r>
      <w:r>
        <w:rPr>
          <w:rFonts w:hint="eastAsia" w:ascii="宋体" w:hAnsi="宋体" w:eastAsia="宋体" w:cs="黑体"/>
          <w:color w:val="0C0C0C"/>
          <w:sz w:val="28"/>
          <w:szCs w:val="28"/>
        </w:rPr>
        <w:t>要求的时间内完成资产评估工作。</w:t>
      </w:r>
      <w:r>
        <w:rPr>
          <w:rFonts w:hint="eastAsia" w:ascii="宋体" w:hAnsi="宋体" w:eastAsia="宋体" w:cs="宋体"/>
          <w:sz w:val="28"/>
          <w:szCs w:val="28"/>
          <w:lang w:val="en-US" w:eastAsia="zh-CN"/>
        </w:rPr>
        <w:t>（提供承诺函）</w:t>
      </w:r>
    </w:p>
    <w:p>
      <w:pPr>
        <w:ind w:firstLine="640" w:firstLineChars="200"/>
        <w:rPr>
          <w:rFonts w:hint="eastAsia" w:ascii="楷体" w:hAnsi="楷体" w:eastAsia="楷体"/>
          <w:sz w:val="32"/>
          <w:szCs w:val="32"/>
          <w:lang w:eastAsia="zh-CN"/>
        </w:rPr>
      </w:pPr>
      <w:r>
        <w:rPr>
          <w:rFonts w:hint="eastAsia" w:ascii="楷体" w:hAnsi="楷体" w:eastAsia="楷体"/>
          <w:sz w:val="32"/>
          <w:szCs w:val="32"/>
        </w:rPr>
        <w:t>（</w:t>
      </w:r>
      <w:r>
        <w:rPr>
          <w:rFonts w:hint="eastAsia" w:ascii="楷体" w:hAnsi="楷体" w:eastAsia="楷体"/>
          <w:sz w:val="32"/>
          <w:szCs w:val="32"/>
          <w:lang w:eastAsia="zh-CN"/>
        </w:rPr>
        <w:t>二</w:t>
      </w:r>
      <w:r>
        <w:rPr>
          <w:rFonts w:hint="eastAsia" w:ascii="楷体" w:hAnsi="楷体" w:eastAsia="楷体"/>
          <w:sz w:val="32"/>
          <w:szCs w:val="32"/>
        </w:rPr>
        <w:t>）</w:t>
      </w:r>
      <w:r>
        <w:rPr>
          <w:rFonts w:hint="eastAsia" w:ascii="楷体" w:hAnsi="楷体" w:eastAsia="楷体"/>
          <w:sz w:val="32"/>
          <w:szCs w:val="32"/>
          <w:lang w:eastAsia="zh-CN"/>
        </w:rPr>
        <w:t>服务人员要求</w:t>
      </w:r>
    </w:p>
    <w:p>
      <w:pPr>
        <w:ind w:firstLine="645"/>
        <w:rPr>
          <w:rFonts w:hint="eastAsia" w:ascii="仿宋" w:hAnsi="仿宋" w:eastAsia="仿宋" w:cs="Times New Roman"/>
          <w:sz w:val="32"/>
          <w:szCs w:val="32"/>
        </w:rPr>
      </w:pPr>
      <w:r>
        <w:rPr>
          <w:rFonts w:hint="eastAsia" w:ascii="仿宋" w:hAnsi="仿宋" w:eastAsia="仿宋" w:cs="Times New Roman"/>
          <w:sz w:val="32"/>
          <w:szCs w:val="32"/>
          <w:lang w:val="en-US" w:eastAsia="zh-CN"/>
        </w:rPr>
        <w:t>1</w:t>
      </w:r>
      <w:r>
        <w:rPr>
          <w:rFonts w:hint="eastAsia" w:ascii="仿宋" w:hAnsi="仿宋" w:eastAsia="仿宋" w:cs="Times New Roman"/>
          <w:sz w:val="32"/>
          <w:szCs w:val="32"/>
          <w:lang w:eastAsia="zh-CN"/>
        </w:rPr>
        <w:t>）</w:t>
      </w:r>
      <w:r>
        <w:rPr>
          <w:rFonts w:hint="eastAsia" w:ascii="仿宋" w:hAnsi="仿宋" w:eastAsia="仿宋" w:cs="Times New Roman"/>
          <w:sz w:val="32"/>
          <w:szCs w:val="32"/>
        </w:rPr>
        <w:t>★供应商应指派专人负责框架协议政府采购项目联系人。针对采购人的项目具体需求，指派至少两名有相关经验的评估师为采购人提供相应的评估服务。采购人有权要求与相关当事人及评估对象有利害关系的评估专业人员回避。</w:t>
      </w:r>
      <w:r>
        <w:rPr>
          <w:rFonts w:hint="eastAsia" w:ascii="仿宋" w:hAnsi="仿宋" w:eastAsia="仿宋" w:cs="Times New Roman"/>
          <w:sz w:val="32"/>
          <w:szCs w:val="32"/>
          <w:lang w:eastAsia="zh-CN"/>
        </w:rPr>
        <w:t>（</w:t>
      </w:r>
      <w:r>
        <w:rPr>
          <w:rFonts w:hint="eastAsia" w:ascii="仿宋" w:hAnsi="仿宋" w:eastAsia="仿宋" w:cs="Times New Roman"/>
          <w:sz w:val="32"/>
          <w:szCs w:val="32"/>
        </w:rPr>
        <w:t>提供项目</w:t>
      </w:r>
      <w:r>
        <w:rPr>
          <w:rFonts w:hint="eastAsia" w:ascii="仿宋" w:hAnsi="仿宋" w:eastAsia="仿宋" w:cs="Times New Roman"/>
          <w:sz w:val="32"/>
          <w:szCs w:val="32"/>
          <w:lang w:eastAsia="zh-CN"/>
        </w:rPr>
        <w:t>实施</w:t>
      </w:r>
      <w:r>
        <w:rPr>
          <w:rFonts w:hint="eastAsia" w:ascii="仿宋" w:hAnsi="仿宋" w:eastAsia="仿宋" w:cs="Times New Roman"/>
          <w:sz w:val="32"/>
          <w:szCs w:val="32"/>
        </w:rPr>
        <w:t>方案</w:t>
      </w:r>
      <w:r>
        <w:rPr>
          <w:rFonts w:hint="eastAsia" w:ascii="仿宋" w:hAnsi="仿宋" w:eastAsia="仿宋" w:cs="Times New Roman"/>
          <w:sz w:val="32"/>
          <w:szCs w:val="32"/>
          <w:lang w:eastAsia="zh-CN"/>
        </w:rPr>
        <w:t>）</w:t>
      </w:r>
    </w:p>
    <w:p>
      <w:pPr>
        <w:ind w:firstLine="645"/>
        <w:rPr>
          <w:rFonts w:hint="eastAsia" w:ascii="仿宋" w:hAnsi="仿宋" w:eastAsia="仿宋" w:cs="Times New Roman"/>
          <w:sz w:val="32"/>
          <w:szCs w:val="32"/>
        </w:rPr>
      </w:pP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★派出的资产评估人员必须具备资产评估、财务管理、会计核算、资产管理、政府采购等法律、法规、政策和制度及其管理知识，严格遵守资产评估“四严禁”工作要求、“八不准”工作纪律</w:t>
      </w:r>
      <w:r>
        <w:rPr>
          <w:rFonts w:hint="eastAsia" w:ascii="仿宋" w:hAnsi="仿宋" w:eastAsia="仿宋" w:cs="Times New Roman"/>
          <w:sz w:val="32"/>
          <w:szCs w:val="32"/>
          <w:lang w:eastAsia="zh-CN"/>
        </w:rPr>
        <w:t>，并提供登记至供应商名下的资产评估师的相关资格证书。（提供相关证明材料）</w:t>
      </w:r>
    </w:p>
    <w:p>
      <w:pPr>
        <w:ind w:firstLine="645"/>
        <w:rPr>
          <w:rFonts w:hint="eastAsia" w:ascii="仿宋" w:hAnsi="仿宋" w:eastAsia="仿宋" w:cs="Times New Roman"/>
          <w:sz w:val="32"/>
          <w:szCs w:val="32"/>
          <w:lang w:eastAsia="zh-CN"/>
        </w:rPr>
      </w:pP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资产评估组在实施资产评估工作中,对资产评估项目涉及的被资产评估单位及其有关工作人员拖延、阻碍、刁难资产评估工作, 不按照资产评估组的要求如实提供有关信息资料、如实解答资产评估人员的资产评估提问的</w:t>
      </w:r>
      <w:r>
        <w:rPr>
          <w:rFonts w:hint="eastAsia" w:ascii="仿宋" w:hAnsi="仿宋" w:eastAsia="仿宋" w:cs="Times New Roman"/>
          <w:sz w:val="32"/>
          <w:szCs w:val="32"/>
          <w:lang w:eastAsia="zh-CN"/>
        </w:rPr>
        <w:t>，</w:t>
      </w:r>
      <w:r>
        <w:rPr>
          <w:rFonts w:hint="eastAsia" w:ascii="仿宋" w:hAnsi="仿宋" w:eastAsia="仿宋" w:cs="Times New Roman"/>
          <w:sz w:val="32"/>
          <w:szCs w:val="32"/>
        </w:rPr>
        <w:t>应及时向采购人资产评估组长或相关负责人报告,以便及时协调、处理。</w:t>
      </w:r>
      <w:r>
        <w:rPr>
          <w:rFonts w:hint="eastAsia" w:ascii="仿宋" w:hAnsi="仿宋" w:eastAsia="仿宋" w:cs="Times New Roman"/>
          <w:sz w:val="32"/>
          <w:szCs w:val="32"/>
          <w:lang w:val="en-US" w:eastAsia="zh-CN"/>
        </w:rPr>
        <w:t>（提供承诺函）</w:t>
      </w:r>
    </w:p>
    <w:p>
      <w:pPr>
        <w:ind w:firstLine="645"/>
        <w:rPr>
          <w:rFonts w:hint="eastAsia" w:ascii="仿宋" w:hAnsi="仿宋" w:eastAsia="仿宋" w:cs="Times New Roman"/>
          <w:sz w:val="32"/>
          <w:szCs w:val="32"/>
        </w:rPr>
      </w:pPr>
      <w:r>
        <w:rPr>
          <w:rFonts w:hint="eastAsia" w:ascii="仿宋" w:hAnsi="仿宋" w:eastAsia="仿宋" w:cs="Times New Roman"/>
          <w:sz w:val="32"/>
          <w:szCs w:val="32"/>
          <w:lang w:val="en-US" w:eastAsia="zh-CN"/>
        </w:rPr>
        <w:t>4</w:t>
      </w:r>
      <w:r>
        <w:rPr>
          <w:rFonts w:hint="eastAsia" w:ascii="仿宋" w:hAnsi="仿宋" w:eastAsia="仿宋" w:cs="Times New Roman"/>
          <w:sz w:val="32"/>
          <w:szCs w:val="32"/>
          <w:lang w:eastAsia="zh-CN"/>
        </w:rPr>
        <w:t>）</w:t>
      </w:r>
      <w:r>
        <w:rPr>
          <w:rFonts w:hint="eastAsia" w:ascii="仿宋" w:hAnsi="仿宋" w:eastAsia="仿宋" w:cs="Times New Roman"/>
          <w:sz w:val="32"/>
          <w:szCs w:val="32"/>
        </w:rPr>
        <w:t>★资产评估单位及其工作人员要严格遵守资产评估纪律,遵从资产评估职业规范,对资产评估结果及其涉及的有关信息资料严格保密,不得向采购人指定人员以外的任何单位和个人披露,否则,采购人有权按有关法规追究应当承担的相关责任。</w:t>
      </w:r>
      <w:r>
        <w:rPr>
          <w:rFonts w:hint="eastAsia" w:ascii="仿宋" w:hAnsi="仿宋" w:eastAsia="仿宋" w:cs="Times New Roman"/>
          <w:sz w:val="32"/>
          <w:szCs w:val="32"/>
          <w:lang w:eastAsia="zh-CN"/>
        </w:rPr>
        <w:t>（提供项目保密管理制度）</w:t>
      </w:r>
    </w:p>
    <w:p>
      <w:pPr>
        <w:ind w:firstLine="645"/>
        <w:rPr>
          <w:rFonts w:hint="eastAsia" w:ascii="仿宋" w:hAnsi="仿宋" w:eastAsia="仿宋" w:cs="Times New Roman"/>
          <w:sz w:val="32"/>
          <w:szCs w:val="32"/>
        </w:rPr>
      </w:pPr>
      <w:r>
        <w:rPr>
          <w:rFonts w:hint="eastAsia"/>
          <w:sz w:val="28"/>
          <w:szCs w:val="28"/>
          <w:lang w:val="en-US" w:eastAsia="zh-CN"/>
        </w:rPr>
        <w:t>5）</w:t>
      </w:r>
      <w:r>
        <w:rPr>
          <w:rFonts w:hint="eastAsia" w:ascii="仿宋" w:hAnsi="仿宋" w:eastAsia="仿宋" w:cs="Times New Roman"/>
          <w:sz w:val="32"/>
          <w:szCs w:val="32"/>
        </w:rPr>
        <w:t xml:space="preserve">服务的地域范围 </w:t>
      </w:r>
    </w:p>
    <w:p>
      <w:pPr>
        <w:ind w:firstLine="645"/>
        <w:rPr>
          <w:rFonts w:hint="eastAsia" w:ascii="仿宋" w:hAnsi="仿宋" w:eastAsia="仿宋" w:cs="Times New Roman"/>
          <w:sz w:val="32"/>
          <w:szCs w:val="32"/>
        </w:rPr>
      </w:pPr>
      <w:r>
        <w:rPr>
          <w:rFonts w:hint="eastAsia" w:ascii="仿宋" w:hAnsi="仿宋" w:eastAsia="仿宋" w:cs="Times New Roman"/>
          <w:sz w:val="32"/>
          <w:szCs w:val="32"/>
        </w:rPr>
        <w:t>根据采购人具体项目需求在</w:t>
      </w:r>
      <w:r>
        <w:rPr>
          <w:rFonts w:hint="eastAsia" w:ascii="仿宋" w:hAnsi="仿宋" w:eastAsia="仿宋" w:cs="Times New Roman"/>
          <w:sz w:val="32"/>
          <w:szCs w:val="32"/>
          <w:lang w:eastAsia="zh-CN"/>
        </w:rPr>
        <w:t>黄石</w:t>
      </w:r>
      <w:r>
        <w:rPr>
          <w:rFonts w:hint="eastAsia" w:ascii="仿宋" w:hAnsi="仿宋" w:eastAsia="仿宋" w:cs="Times New Roman"/>
          <w:sz w:val="32"/>
          <w:szCs w:val="32"/>
        </w:rPr>
        <w:t>市范围内提供服务，但不排除根据具体项目实际情况需要赴</w:t>
      </w:r>
      <w:r>
        <w:rPr>
          <w:rFonts w:hint="eastAsia" w:ascii="仿宋" w:hAnsi="仿宋" w:eastAsia="仿宋" w:cs="Times New Roman"/>
          <w:sz w:val="32"/>
          <w:szCs w:val="32"/>
          <w:lang w:eastAsia="zh-CN"/>
        </w:rPr>
        <w:t>黄石</w:t>
      </w:r>
      <w:r>
        <w:rPr>
          <w:rFonts w:hint="eastAsia" w:ascii="仿宋" w:hAnsi="仿宋" w:eastAsia="仿宋" w:cs="Times New Roman"/>
          <w:sz w:val="32"/>
          <w:szCs w:val="32"/>
        </w:rPr>
        <w:t>市外开展必要的调查、取证、调研论证等服务活动。</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三</w:t>
      </w:r>
      <w:r>
        <w:rPr>
          <w:rFonts w:hint="eastAsia" w:ascii="楷体" w:hAnsi="楷体" w:eastAsia="楷体"/>
          <w:sz w:val="32"/>
          <w:szCs w:val="32"/>
        </w:rPr>
        <w:t>）服务工作量的计量方式</w:t>
      </w:r>
    </w:p>
    <w:p>
      <w:pPr>
        <w:ind w:firstLine="645"/>
        <w:rPr>
          <w:rFonts w:hint="eastAsia" w:ascii="仿宋" w:hAnsi="仿宋" w:eastAsia="仿宋"/>
          <w:sz w:val="32"/>
          <w:szCs w:val="32"/>
        </w:rPr>
      </w:pPr>
      <w:r>
        <w:rPr>
          <w:rFonts w:hint="eastAsia" w:ascii="仿宋" w:hAnsi="仿宋" w:eastAsia="仿宋"/>
          <w:sz w:val="32"/>
          <w:szCs w:val="32"/>
        </w:rPr>
        <w:t>按件或者计时计算服务数量，具体服务计量方式根据项目实际情况，由采购人和供应商协商确定。</w:t>
      </w:r>
    </w:p>
    <w:p>
      <w:pPr>
        <w:ind w:firstLine="645"/>
        <w:rPr>
          <w:rFonts w:hint="eastAsia" w:ascii="仿宋" w:hAnsi="仿宋" w:eastAsia="仿宋"/>
          <w:sz w:val="32"/>
          <w:szCs w:val="32"/>
        </w:rPr>
      </w:pPr>
    </w:p>
    <w:p>
      <w:pPr>
        <w:pStyle w:val="2"/>
        <w:rPr>
          <w:rFonts w:hint="eastAsia"/>
        </w:rPr>
      </w:pPr>
    </w:p>
    <w:p>
      <w:pPr>
        <w:ind w:firstLine="960" w:firstLineChars="300"/>
        <w:rPr>
          <w:rFonts w:ascii="黑体" w:hAnsi="黑体" w:eastAsia="黑体"/>
          <w:sz w:val="32"/>
          <w:szCs w:val="32"/>
        </w:rPr>
      </w:pPr>
      <w:r>
        <w:rPr>
          <w:rFonts w:hint="eastAsia" w:ascii="黑体" w:hAnsi="黑体" w:eastAsia="黑体"/>
          <w:sz w:val="32"/>
          <w:szCs w:val="32"/>
        </w:rPr>
        <w:t>报价要求</w:t>
      </w:r>
    </w:p>
    <w:p>
      <w:pPr>
        <w:widowControl/>
        <w:ind w:firstLine="900" w:firstLineChars="300"/>
        <w:jc w:val="left"/>
        <w:rPr>
          <w:sz w:val="30"/>
          <w:szCs w:val="30"/>
        </w:rPr>
      </w:pPr>
      <w:r>
        <w:rPr>
          <w:sz w:val="30"/>
          <w:szCs w:val="30"/>
        </w:rPr>
        <w:t>供应商根据计件收费或计时收费标准报价。报价要求详见下表：</w:t>
      </w:r>
    </w:p>
    <w:tbl>
      <w:tblPr>
        <w:tblStyle w:val="9"/>
        <w:tblW w:w="9035" w:type="dxa"/>
        <w:tblInd w:w="7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5"/>
        <w:gridCol w:w="945"/>
        <w:gridCol w:w="3561"/>
        <w:gridCol w:w="1740"/>
        <w:gridCol w:w="1299"/>
        <w:gridCol w:w="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994" w:hRule="atLeast"/>
        </w:trPr>
        <w:tc>
          <w:tcPr>
            <w:tcW w:w="1215" w:type="dxa"/>
            <w:vMerge w:val="restart"/>
            <w:noWrap w:val="0"/>
            <w:vAlign w:val="top"/>
          </w:tcPr>
          <w:p>
            <w:pPr>
              <w:pStyle w:val="15"/>
              <w:spacing w:before="1"/>
              <w:jc w:val="center"/>
              <w:rPr>
                <w:sz w:val="22"/>
              </w:rPr>
            </w:pPr>
          </w:p>
          <w:p>
            <w:pPr>
              <w:pStyle w:val="15"/>
              <w:ind w:left="106"/>
              <w:jc w:val="center"/>
              <w:rPr>
                <w:sz w:val="24"/>
              </w:rPr>
            </w:pPr>
          </w:p>
          <w:p>
            <w:pPr>
              <w:pStyle w:val="15"/>
              <w:ind w:left="106"/>
              <w:jc w:val="center"/>
              <w:rPr>
                <w:sz w:val="24"/>
              </w:rPr>
            </w:pPr>
          </w:p>
          <w:p>
            <w:pPr>
              <w:pStyle w:val="15"/>
              <w:ind w:left="106"/>
              <w:jc w:val="center"/>
              <w:rPr>
                <w:sz w:val="24"/>
              </w:rPr>
            </w:pPr>
          </w:p>
          <w:p>
            <w:pPr>
              <w:pStyle w:val="15"/>
              <w:ind w:left="106"/>
              <w:jc w:val="center"/>
              <w:rPr>
                <w:sz w:val="24"/>
              </w:rPr>
            </w:pPr>
          </w:p>
          <w:p>
            <w:pPr>
              <w:pStyle w:val="15"/>
              <w:ind w:left="106"/>
              <w:jc w:val="center"/>
              <w:rPr>
                <w:sz w:val="24"/>
              </w:rPr>
            </w:pPr>
          </w:p>
          <w:p>
            <w:pPr>
              <w:pStyle w:val="15"/>
              <w:ind w:left="106"/>
              <w:jc w:val="center"/>
              <w:rPr>
                <w:sz w:val="24"/>
              </w:rPr>
            </w:pPr>
            <w:r>
              <w:rPr>
                <w:sz w:val="24"/>
              </w:rPr>
              <w:t>计件收费</w:t>
            </w:r>
          </w:p>
        </w:tc>
        <w:tc>
          <w:tcPr>
            <w:tcW w:w="945" w:type="dxa"/>
            <w:noWrap w:val="0"/>
            <w:vAlign w:val="top"/>
          </w:tcPr>
          <w:p>
            <w:pPr>
              <w:pStyle w:val="15"/>
              <w:spacing w:line="279" w:lineRule="exact"/>
              <w:ind w:left="108"/>
              <w:rPr>
                <w:sz w:val="24"/>
              </w:rPr>
            </w:pPr>
            <w:r>
              <w:rPr>
                <w:sz w:val="24"/>
              </w:rPr>
              <w:t>序号</w:t>
            </w:r>
          </w:p>
        </w:tc>
        <w:tc>
          <w:tcPr>
            <w:tcW w:w="3561" w:type="dxa"/>
            <w:noWrap w:val="0"/>
            <w:vAlign w:val="top"/>
          </w:tcPr>
          <w:p>
            <w:pPr>
              <w:pStyle w:val="15"/>
              <w:spacing w:line="279" w:lineRule="exact"/>
              <w:ind w:left="106"/>
              <w:rPr>
                <w:sz w:val="24"/>
              </w:rPr>
            </w:pPr>
            <w:r>
              <w:rPr>
                <w:sz w:val="24"/>
              </w:rPr>
              <w:t>计费额度（万元）</w:t>
            </w:r>
          </w:p>
        </w:tc>
        <w:tc>
          <w:tcPr>
            <w:tcW w:w="1740" w:type="dxa"/>
            <w:noWrap w:val="0"/>
            <w:vAlign w:val="top"/>
          </w:tcPr>
          <w:p>
            <w:pPr>
              <w:pStyle w:val="15"/>
              <w:spacing w:before="13" w:line="271" w:lineRule="exact"/>
              <w:ind w:left="106"/>
              <w:rPr>
                <w:sz w:val="24"/>
              </w:rPr>
            </w:pPr>
            <w:r>
              <w:rPr>
                <w:sz w:val="24"/>
              </w:rPr>
              <w:t>最高费率</w:t>
            </w:r>
          </w:p>
          <w:p>
            <w:pPr>
              <w:pStyle w:val="15"/>
              <w:spacing w:before="230"/>
              <w:ind w:left="106"/>
              <w:rPr>
                <w:sz w:val="24"/>
              </w:rPr>
            </w:pPr>
            <w:r>
              <w:rPr>
                <w:sz w:val="24"/>
              </w:rPr>
              <w:t>（‰）</w:t>
            </w:r>
          </w:p>
        </w:tc>
        <w:tc>
          <w:tcPr>
            <w:tcW w:w="1299" w:type="dxa"/>
            <w:noWrap w:val="0"/>
            <w:vAlign w:val="top"/>
          </w:tcPr>
          <w:p>
            <w:pPr>
              <w:pStyle w:val="15"/>
              <w:spacing w:before="13" w:line="271" w:lineRule="exact"/>
              <w:ind w:left="107"/>
              <w:rPr>
                <w:sz w:val="24"/>
              </w:rPr>
            </w:pPr>
            <w:r>
              <w:rPr>
                <w:sz w:val="24"/>
              </w:rPr>
              <w:t>报价折扣率（％）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1" w:hRule="atLeast"/>
        </w:trPr>
        <w:tc>
          <w:tcPr>
            <w:tcW w:w="1215" w:type="dxa"/>
            <w:vMerge w:val="continue"/>
            <w:noWrap w:val="0"/>
            <w:vAlign w:val="top"/>
          </w:tcPr>
          <w:p>
            <w:pPr>
              <w:pStyle w:val="15"/>
              <w:rPr>
                <w:rFonts w:ascii="Times New Roman"/>
                <w:sz w:val="24"/>
              </w:rPr>
            </w:pPr>
          </w:p>
        </w:tc>
        <w:tc>
          <w:tcPr>
            <w:tcW w:w="945" w:type="dxa"/>
            <w:noWrap w:val="0"/>
            <w:vAlign w:val="top"/>
          </w:tcPr>
          <w:p>
            <w:pPr>
              <w:pStyle w:val="15"/>
              <w:spacing w:before="32"/>
              <w:ind w:left="108"/>
              <w:rPr>
                <w:rFonts w:ascii="Tahoma"/>
                <w:sz w:val="24"/>
              </w:rPr>
            </w:pPr>
            <w:r>
              <w:rPr>
                <w:rFonts w:ascii="Tahoma"/>
                <w:w w:val="116"/>
                <w:sz w:val="24"/>
              </w:rPr>
              <w:t>1</w:t>
            </w:r>
          </w:p>
        </w:tc>
        <w:tc>
          <w:tcPr>
            <w:tcW w:w="3561" w:type="dxa"/>
            <w:noWrap w:val="0"/>
            <w:vAlign w:val="top"/>
          </w:tcPr>
          <w:p>
            <w:pPr>
              <w:pStyle w:val="15"/>
              <w:spacing w:before="12"/>
              <w:ind w:left="106"/>
              <w:rPr>
                <w:sz w:val="24"/>
              </w:rPr>
            </w:pPr>
            <w:r>
              <w:rPr>
                <w:rFonts w:ascii="Tahoma" w:eastAsia="Tahoma"/>
                <w:w w:val="105"/>
                <w:sz w:val="24"/>
              </w:rPr>
              <w:t xml:space="preserve">100 </w:t>
            </w:r>
            <w:r>
              <w:rPr>
                <w:w w:val="105"/>
                <w:sz w:val="24"/>
              </w:rPr>
              <w:t xml:space="preserve">以下（含 </w:t>
            </w:r>
            <w:r>
              <w:rPr>
                <w:rFonts w:ascii="Tahoma" w:eastAsia="Tahoma"/>
                <w:w w:val="105"/>
                <w:sz w:val="24"/>
              </w:rPr>
              <w:t>100</w:t>
            </w:r>
            <w:r>
              <w:rPr>
                <w:w w:val="105"/>
                <w:sz w:val="24"/>
              </w:rPr>
              <w:t>）</w:t>
            </w:r>
          </w:p>
        </w:tc>
        <w:tc>
          <w:tcPr>
            <w:tcW w:w="1740" w:type="dxa"/>
            <w:noWrap w:val="0"/>
            <w:vAlign w:val="top"/>
          </w:tcPr>
          <w:p>
            <w:pPr>
              <w:pStyle w:val="15"/>
              <w:spacing w:before="32"/>
              <w:ind w:left="106"/>
              <w:rPr>
                <w:rFonts w:ascii="Tahoma"/>
                <w:sz w:val="24"/>
              </w:rPr>
            </w:pPr>
            <w:r>
              <w:rPr>
                <w:rFonts w:ascii="Tahoma"/>
                <w:w w:val="115"/>
                <w:sz w:val="24"/>
              </w:rPr>
              <w:t>7.5</w:t>
            </w:r>
          </w:p>
        </w:tc>
        <w:tc>
          <w:tcPr>
            <w:tcW w:w="1299" w:type="dxa"/>
            <w:vMerge w:val="restart"/>
            <w:noWrap w:val="0"/>
            <w:vAlign w:val="top"/>
          </w:tcPr>
          <w:p>
            <w:pPr>
              <w:pStyle w:val="15"/>
              <w:spacing w:before="18"/>
              <w:rPr>
                <w:sz w:val="24"/>
              </w:rPr>
            </w:pPr>
          </w:p>
          <w:p>
            <w:pPr>
              <w:pStyle w:val="15"/>
              <w:spacing w:before="18"/>
              <w:rPr>
                <w:sz w:val="24"/>
              </w:rPr>
            </w:pPr>
            <w:r>
              <w:rPr>
                <w:sz w:val="24"/>
              </w:rPr>
              <w:t>（供应商在此处报价至</w:t>
            </w:r>
          </w:p>
          <w:p>
            <w:pPr>
              <w:pStyle w:val="15"/>
              <w:spacing w:line="305" w:lineRule="exact"/>
              <w:ind w:left="107"/>
              <w:rPr>
                <w:sz w:val="24"/>
              </w:rPr>
            </w:pPr>
            <w:r>
              <w:rPr>
                <w:sz w:val="24"/>
              </w:rPr>
              <w:t>小数点后二位数）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1" w:hRule="atLeast"/>
        </w:trPr>
        <w:tc>
          <w:tcPr>
            <w:tcW w:w="1215" w:type="dxa"/>
            <w:vMerge w:val="continue"/>
            <w:noWrap w:val="0"/>
            <w:vAlign w:val="top"/>
          </w:tcPr>
          <w:p>
            <w:pPr>
              <w:pStyle w:val="15"/>
              <w:ind w:left="106"/>
              <w:rPr>
                <w:sz w:val="24"/>
              </w:rPr>
            </w:pPr>
          </w:p>
        </w:tc>
        <w:tc>
          <w:tcPr>
            <w:tcW w:w="945" w:type="dxa"/>
            <w:noWrap w:val="0"/>
            <w:vAlign w:val="top"/>
          </w:tcPr>
          <w:p>
            <w:pPr>
              <w:pStyle w:val="15"/>
              <w:spacing w:before="31"/>
              <w:ind w:left="108"/>
              <w:rPr>
                <w:rFonts w:ascii="Tahoma"/>
                <w:sz w:val="24"/>
              </w:rPr>
            </w:pPr>
            <w:r>
              <w:rPr>
                <w:rFonts w:ascii="Tahoma"/>
                <w:w w:val="116"/>
                <w:sz w:val="24"/>
              </w:rPr>
              <w:t>2</w:t>
            </w:r>
          </w:p>
        </w:tc>
        <w:tc>
          <w:tcPr>
            <w:tcW w:w="3561" w:type="dxa"/>
            <w:noWrap w:val="0"/>
            <w:vAlign w:val="top"/>
          </w:tcPr>
          <w:p>
            <w:pPr>
              <w:pStyle w:val="15"/>
              <w:spacing w:before="14"/>
              <w:ind w:left="106"/>
              <w:rPr>
                <w:sz w:val="24"/>
              </w:rPr>
            </w:pPr>
            <w:r>
              <w:rPr>
                <w:rFonts w:ascii="Tahoma" w:eastAsia="Tahoma"/>
                <w:w w:val="110"/>
                <w:sz w:val="24"/>
              </w:rPr>
              <w:t>100-1000</w:t>
            </w:r>
            <w:r>
              <w:rPr>
                <w:w w:val="110"/>
                <w:sz w:val="24"/>
              </w:rPr>
              <w:t xml:space="preserve">（含 </w:t>
            </w:r>
            <w:r>
              <w:rPr>
                <w:rFonts w:ascii="Tahoma" w:eastAsia="Tahoma"/>
                <w:w w:val="110"/>
                <w:sz w:val="24"/>
              </w:rPr>
              <w:t>1000</w:t>
            </w:r>
            <w:r>
              <w:rPr>
                <w:w w:val="110"/>
                <w:sz w:val="24"/>
              </w:rPr>
              <w:t>）</w:t>
            </w:r>
          </w:p>
        </w:tc>
        <w:tc>
          <w:tcPr>
            <w:tcW w:w="1740" w:type="dxa"/>
            <w:noWrap w:val="0"/>
            <w:vAlign w:val="top"/>
          </w:tcPr>
          <w:p>
            <w:pPr>
              <w:pStyle w:val="15"/>
              <w:spacing w:before="31"/>
              <w:ind w:left="106"/>
              <w:rPr>
                <w:rFonts w:ascii="Tahoma"/>
                <w:sz w:val="24"/>
              </w:rPr>
            </w:pPr>
            <w:r>
              <w:rPr>
                <w:rFonts w:ascii="Tahoma"/>
                <w:w w:val="116"/>
                <w:sz w:val="24"/>
              </w:rPr>
              <w:t>4</w:t>
            </w:r>
          </w:p>
        </w:tc>
        <w:tc>
          <w:tcPr>
            <w:tcW w:w="1299" w:type="dxa"/>
            <w:vMerge w:val="continue"/>
            <w:noWrap w:val="0"/>
            <w:vAlign w:val="top"/>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2" w:hRule="atLeast"/>
        </w:trPr>
        <w:tc>
          <w:tcPr>
            <w:tcW w:w="1215" w:type="dxa"/>
            <w:vMerge w:val="continue"/>
            <w:noWrap w:val="0"/>
            <w:vAlign w:val="top"/>
          </w:tcPr>
          <w:p>
            <w:pPr>
              <w:rPr>
                <w:sz w:val="2"/>
                <w:szCs w:val="2"/>
              </w:rPr>
            </w:pPr>
          </w:p>
        </w:tc>
        <w:tc>
          <w:tcPr>
            <w:tcW w:w="945" w:type="dxa"/>
            <w:noWrap w:val="0"/>
            <w:vAlign w:val="top"/>
          </w:tcPr>
          <w:p>
            <w:pPr>
              <w:pStyle w:val="15"/>
              <w:spacing w:before="32"/>
              <w:ind w:left="108"/>
              <w:rPr>
                <w:rFonts w:ascii="Tahoma"/>
                <w:sz w:val="24"/>
              </w:rPr>
            </w:pPr>
            <w:r>
              <w:rPr>
                <w:rFonts w:ascii="Tahoma"/>
                <w:w w:val="116"/>
                <w:sz w:val="24"/>
              </w:rPr>
              <w:t>3</w:t>
            </w:r>
          </w:p>
        </w:tc>
        <w:tc>
          <w:tcPr>
            <w:tcW w:w="3561" w:type="dxa"/>
            <w:noWrap w:val="0"/>
            <w:vAlign w:val="top"/>
          </w:tcPr>
          <w:p>
            <w:pPr>
              <w:pStyle w:val="15"/>
              <w:spacing w:before="13"/>
              <w:ind w:left="106"/>
              <w:rPr>
                <w:sz w:val="24"/>
              </w:rPr>
            </w:pPr>
            <w:r>
              <w:rPr>
                <w:rFonts w:ascii="Tahoma" w:eastAsia="Tahoma"/>
                <w:w w:val="110"/>
                <w:sz w:val="24"/>
              </w:rPr>
              <w:t>1000-5000</w:t>
            </w:r>
            <w:r>
              <w:rPr>
                <w:w w:val="110"/>
                <w:sz w:val="24"/>
              </w:rPr>
              <w:t xml:space="preserve">（含 </w:t>
            </w:r>
            <w:r>
              <w:rPr>
                <w:rFonts w:ascii="Tahoma" w:eastAsia="Tahoma"/>
                <w:w w:val="110"/>
                <w:sz w:val="24"/>
              </w:rPr>
              <w:t>5000</w:t>
            </w:r>
            <w:r>
              <w:rPr>
                <w:w w:val="110"/>
                <w:sz w:val="24"/>
              </w:rPr>
              <w:t>）</w:t>
            </w:r>
          </w:p>
        </w:tc>
        <w:tc>
          <w:tcPr>
            <w:tcW w:w="1740" w:type="dxa"/>
            <w:noWrap w:val="0"/>
            <w:vAlign w:val="top"/>
          </w:tcPr>
          <w:p>
            <w:pPr>
              <w:pStyle w:val="15"/>
              <w:spacing w:before="32"/>
              <w:ind w:left="106"/>
              <w:rPr>
                <w:rFonts w:ascii="Tahoma"/>
                <w:sz w:val="24"/>
              </w:rPr>
            </w:pPr>
            <w:r>
              <w:rPr>
                <w:rFonts w:ascii="Tahoma"/>
                <w:w w:val="115"/>
                <w:sz w:val="24"/>
              </w:rPr>
              <w:t>1.2</w:t>
            </w:r>
          </w:p>
        </w:tc>
        <w:tc>
          <w:tcPr>
            <w:tcW w:w="1299" w:type="dxa"/>
            <w:vMerge w:val="continue"/>
            <w:noWrap w:val="0"/>
            <w:vAlign w:val="top"/>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1" w:hRule="atLeast"/>
        </w:trPr>
        <w:tc>
          <w:tcPr>
            <w:tcW w:w="1215" w:type="dxa"/>
            <w:vMerge w:val="continue"/>
            <w:noWrap w:val="0"/>
            <w:vAlign w:val="top"/>
          </w:tcPr>
          <w:p>
            <w:pPr>
              <w:pStyle w:val="15"/>
              <w:rPr>
                <w:rFonts w:ascii="Times New Roman"/>
                <w:sz w:val="24"/>
              </w:rPr>
            </w:pPr>
          </w:p>
        </w:tc>
        <w:tc>
          <w:tcPr>
            <w:tcW w:w="945" w:type="dxa"/>
            <w:noWrap w:val="0"/>
            <w:vAlign w:val="top"/>
          </w:tcPr>
          <w:p>
            <w:pPr>
              <w:pStyle w:val="15"/>
              <w:spacing w:before="30"/>
              <w:ind w:left="108"/>
              <w:rPr>
                <w:rFonts w:ascii="Tahoma"/>
                <w:sz w:val="24"/>
              </w:rPr>
            </w:pPr>
            <w:r>
              <w:rPr>
                <w:rFonts w:ascii="Tahoma"/>
                <w:w w:val="116"/>
                <w:sz w:val="24"/>
              </w:rPr>
              <w:t>4</w:t>
            </w:r>
          </w:p>
        </w:tc>
        <w:tc>
          <w:tcPr>
            <w:tcW w:w="3561" w:type="dxa"/>
            <w:noWrap w:val="0"/>
            <w:vAlign w:val="top"/>
          </w:tcPr>
          <w:p>
            <w:pPr>
              <w:pStyle w:val="15"/>
              <w:spacing w:before="13"/>
              <w:ind w:left="106"/>
              <w:rPr>
                <w:sz w:val="24"/>
              </w:rPr>
            </w:pPr>
            <w:r>
              <w:rPr>
                <w:rFonts w:ascii="Tahoma" w:eastAsia="Tahoma"/>
                <w:w w:val="110"/>
                <w:sz w:val="24"/>
              </w:rPr>
              <w:t>5000-10000</w:t>
            </w:r>
            <w:r>
              <w:rPr>
                <w:w w:val="110"/>
                <w:sz w:val="24"/>
              </w:rPr>
              <w:t xml:space="preserve">（含 </w:t>
            </w:r>
            <w:r>
              <w:rPr>
                <w:rFonts w:ascii="Tahoma" w:eastAsia="Tahoma"/>
                <w:w w:val="110"/>
                <w:sz w:val="24"/>
              </w:rPr>
              <w:t>10000</w:t>
            </w:r>
            <w:r>
              <w:rPr>
                <w:w w:val="110"/>
                <w:sz w:val="24"/>
              </w:rPr>
              <w:t>）</w:t>
            </w:r>
          </w:p>
        </w:tc>
        <w:tc>
          <w:tcPr>
            <w:tcW w:w="1740" w:type="dxa"/>
            <w:noWrap w:val="0"/>
            <w:vAlign w:val="top"/>
          </w:tcPr>
          <w:p>
            <w:pPr>
              <w:pStyle w:val="15"/>
              <w:spacing w:before="30"/>
              <w:ind w:left="106"/>
              <w:rPr>
                <w:rFonts w:ascii="Tahoma"/>
                <w:sz w:val="24"/>
              </w:rPr>
            </w:pPr>
            <w:r>
              <w:rPr>
                <w:rFonts w:ascii="Tahoma"/>
                <w:w w:val="115"/>
                <w:sz w:val="24"/>
              </w:rPr>
              <w:t>0.75</w:t>
            </w:r>
          </w:p>
        </w:tc>
        <w:tc>
          <w:tcPr>
            <w:tcW w:w="1299" w:type="dxa"/>
            <w:vMerge w:val="continue"/>
            <w:noWrap w:val="0"/>
            <w:vAlign w:val="top"/>
          </w:tcPr>
          <w:p>
            <w:pPr>
              <w:pStyle w:val="15"/>
              <w:spacing w:before="18"/>
              <w:ind w:left="10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1" w:hRule="atLeast"/>
        </w:trPr>
        <w:tc>
          <w:tcPr>
            <w:tcW w:w="1215" w:type="dxa"/>
            <w:vMerge w:val="continue"/>
            <w:noWrap w:val="0"/>
            <w:vAlign w:val="top"/>
          </w:tcPr>
          <w:p>
            <w:pPr>
              <w:pStyle w:val="15"/>
              <w:rPr>
                <w:rFonts w:ascii="Times New Roman"/>
                <w:sz w:val="24"/>
              </w:rPr>
            </w:pPr>
          </w:p>
        </w:tc>
        <w:tc>
          <w:tcPr>
            <w:tcW w:w="945" w:type="dxa"/>
            <w:noWrap w:val="0"/>
            <w:vAlign w:val="top"/>
          </w:tcPr>
          <w:p>
            <w:pPr>
              <w:pStyle w:val="15"/>
              <w:spacing w:before="32"/>
              <w:ind w:left="108"/>
              <w:rPr>
                <w:rFonts w:ascii="Tahoma"/>
                <w:sz w:val="24"/>
              </w:rPr>
            </w:pPr>
            <w:r>
              <w:rPr>
                <w:rFonts w:ascii="Tahoma"/>
                <w:w w:val="116"/>
                <w:sz w:val="24"/>
              </w:rPr>
              <w:t>5</w:t>
            </w:r>
          </w:p>
        </w:tc>
        <w:tc>
          <w:tcPr>
            <w:tcW w:w="3561" w:type="dxa"/>
            <w:noWrap w:val="0"/>
            <w:vAlign w:val="top"/>
          </w:tcPr>
          <w:p>
            <w:pPr>
              <w:pStyle w:val="15"/>
              <w:spacing w:before="13"/>
              <w:ind w:left="106"/>
              <w:rPr>
                <w:sz w:val="24"/>
              </w:rPr>
            </w:pPr>
            <w:r>
              <w:rPr>
                <w:rFonts w:ascii="Tahoma" w:eastAsia="Tahoma"/>
                <w:w w:val="110"/>
                <w:sz w:val="24"/>
              </w:rPr>
              <w:t>10000-100000</w:t>
            </w:r>
            <w:r>
              <w:rPr>
                <w:w w:val="110"/>
                <w:sz w:val="24"/>
              </w:rPr>
              <w:t xml:space="preserve">（含 </w:t>
            </w:r>
            <w:r>
              <w:rPr>
                <w:rFonts w:ascii="Tahoma" w:eastAsia="Tahoma"/>
                <w:w w:val="110"/>
                <w:sz w:val="24"/>
              </w:rPr>
              <w:t>100000</w:t>
            </w:r>
            <w:r>
              <w:rPr>
                <w:w w:val="110"/>
                <w:sz w:val="24"/>
              </w:rPr>
              <w:t>）</w:t>
            </w:r>
          </w:p>
        </w:tc>
        <w:tc>
          <w:tcPr>
            <w:tcW w:w="1740" w:type="dxa"/>
            <w:noWrap w:val="0"/>
            <w:vAlign w:val="top"/>
          </w:tcPr>
          <w:p>
            <w:pPr>
              <w:pStyle w:val="15"/>
              <w:spacing w:before="32"/>
              <w:ind w:left="106"/>
              <w:rPr>
                <w:rFonts w:ascii="Tahoma"/>
                <w:sz w:val="24"/>
              </w:rPr>
            </w:pPr>
            <w:r>
              <w:rPr>
                <w:rFonts w:ascii="Tahoma"/>
                <w:w w:val="115"/>
                <w:sz w:val="24"/>
              </w:rPr>
              <w:t>0.12</w:t>
            </w:r>
          </w:p>
        </w:tc>
        <w:tc>
          <w:tcPr>
            <w:tcW w:w="1299" w:type="dxa"/>
            <w:vMerge w:val="continue"/>
            <w:noWrap w:val="0"/>
            <w:vAlign w:val="top"/>
          </w:tcPr>
          <w:p>
            <w:pPr>
              <w:pStyle w:val="15"/>
              <w:spacing w:before="8"/>
              <w:ind w:left="10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2" w:hRule="atLeast"/>
        </w:trPr>
        <w:tc>
          <w:tcPr>
            <w:tcW w:w="1215" w:type="dxa"/>
            <w:vMerge w:val="continue"/>
            <w:noWrap w:val="0"/>
            <w:vAlign w:val="top"/>
          </w:tcPr>
          <w:p>
            <w:pPr>
              <w:pStyle w:val="15"/>
              <w:rPr>
                <w:rFonts w:ascii="Times New Roman"/>
                <w:sz w:val="24"/>
              </w:rPr>
            </w:pPr>
          </w:p>
        </w:tc>
        <w:tc>
          <w:tcPr>
            <w:tcW w:w="945" w:type="dxa"/>
            <w:noWrap w:val="0"/>
            <w:vAlign w:val="top"/>
          </w:tcPr>
          <w:p>
            <w:pPr>
              <w:pStyle w:val="15"/>
              <w:spacing w:before="33"/>
              <w:ind w:left="108"/>
              <w:rPr>
                <w:rFonts w:ascii="Tahoma"/>
                <w:sz w:val="24"/>
              </w:rPr>
            </w:pPr>
            <w:r>
              <w:rPr>
                <w:rFonts w:ascii="Tahoma"/>
                <w:w w:val="116"/>
                <w:sz w:val="24"/>
              </w:rPr>
              <w:t>6</w:t>
            </w:r>
          </w:p>
        </w:tc>
        <w:tc>
          <w:tcPr>
            <w:tcW w:w="3561" w:type="dxa"/>
            <w:noWrap w:val="0"/>
            <w:vAlign w:val="top"/>
          </w:tcPr>
          <w:p>
            <w:pPr>
              <w:pStyle w:val="15"/>
              <w:spacing w:before="14"/>
              <w:ind w:left="106"/>
              <w:rPr>
                <w:sz w:val="24"/>
              </w:rPr>
            </w:pPr>
            <w:r>
              <w:rPr>
                <w:rFonts w:ascii="Tahoma" w:eastAsia="Tahoma"/>
                <w:w w:val="110"/>
                <w:sz w:val="24"/>
              </w:rPr>
              <w:t xml:space="preserve">100000 </w:t>
            </w:r>
            <w:r>
              <w:rPr>
                <w:w w:val="110"/>
                <w:sz w:val="24"/>
              </w:rPr>
              <w:t>以上</w:t>
            </w:r>
          </w:p>
        </w:tc>
        <w:tc>
          <w:tcPr>
            <w:tcW w:w="1740" w:type="dxa"/>
            <w:noWrap w:val="0"/>
            <w:vAlign w:val="top"/>
          </w:tcPr>
          <w:p>
            <w:pPr>
              <w:pStyle w:val="15"/>
              <w:spacing w:before="33"/>
              <w:ind w:left="106"/>
              <w:rPr>
                <w:rFonts w:ascii="Tahoma"/>
                <w:sz w:val="24"/>
              </w:rPr>
            </w:pPr>
            <w:r>
              <w:rPr>
                <w:rFonts w:ascii="Tahoma"/>
                <w:w w:val="115"/>
                <w:sz w:val="24"/>
              </w:rPr>
              <w:t>0.1</w:t>
            </w:r>
          </w:p>
        </w:tc>
        <w:tc>
          <w:tcPr>
            <w:tcW w:w="1299" w:type="dxa"/>
            <w:vMerge w:val="continue"/>
            <w:noWrap w:val="0"/>
            <w:vAlign w:val="top"/>
          </w:tcPr>
          <w:p>
            <w:pPr>
              <w:pStyle w:val="15"/>
              <w:spacing w:line="305" w:lineRule="exact"/>
              <w:ind w:left="10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705" w:hRule="atLeast"/>
        </w:trPr>
        <w:tc>
          <w:tcPr>
            <w:tcW w:w="1215" w:type="dxa"/>
            <w:vMerge w:val="restart"/>
            <w:noWrap w:val="0"/>
            <w:vAlign w:val="top"/>
          </w:tcPr>
          <w:p>
            <w:pPr>
              <w:pStyle w:val="15"/>
              <w:spacing w:before="12"/>
              <w:rPr>
                <w:sz w:val="28"/>
              </w:rPr>
            </w:pPr>
          </w:p>
          <w:p>
            <w:pPr>
              <w:pStyle w:val="15"/>
              <w:rPr>
                <w:sz w:val="24"/>
              </w:rPr>
            </w:pPr>
          </w:p>
          <w:p>
            <w:pPr>
              <w:pStyle w:val="15"/>
              <w:ind w:left="106"/>
              <w:rPr>
                <w:sz w:val="24"/>
              </w:rPr>
            </w:pPr>
            <w:r>
              <w:rPr>
                <w:sz w:val="24"/>
              </w:rPr>
              <w:t>计时收费</w:t>
            </w:r>
          </w:p>
        </w:tc>
        <w:tc>
          <w:tcPr>
            <w:tcW w:w="945" w:type="dxa"/>
            <w:noWrap w:val="0"/>
            <w:vAlign w:val="top"/>
          </w:tcPr>
          <w:p>
            <w:pPr>
              <w:pStyle w:val="15"/>
              <w:spacing w:before="105"/>
              <w:ind w:left="108"/>
              <w:rPr>
                <w:sz w:val="24"/>
              </w:rPr>
            </w:pPr>
            <w:r>
              <w:rPr>
                <w:sz w:val="24"/>
              </w:rPr>
              <w:t>序号</w:t>
            </w:r>
          </w:p>
        </w:tc>
        <w:tc>
          <w:tcPr>
            <w:tcW w:w="3561" w:type="dxa"/>
            <w:noWrap w:val="0"/>
            <w:vAlign w:val="top"/>
          </w:tcPr>
          <w:p>
            <w:pPr>
              <w:pStyle w:val="15"/>
              <w:spacing w:before="105"/>
              <w:ind w:left="106"/>
              <w:rPr>
                <w:sz w:val="24"/>
              </w:rPr>
            </w:pPr>
            <w:r>
              <w:rPr>
                <w:sz w:val="24"/>
              </w:rPr>
              <w:t>人员类别</w:t>
            </w:r>
          </w:p>
        </w:tc>
        <w:tc>
          <w:tcPr>
            <w:tcW w:w="1740" w:type="dxa"/>
            <w:noWrap w:val="0"/>
            <w:vAlign w:val="top"/>
          </w:tcPr>
          <w:p>
            <w:pPr>
              <w:pStyle w:val="15"/>
              <w:spacing w:before="12"/>
              <w:ind w:left="106"/>
              <w:rPr>
                <w:sz w:val="24"/>
              </w:rPr>
            </w:pPr>
            <w:r>
              <w:rPr>
                <w:sz w:val="24"/>
              </w:rPr>
              <w:t>最 高收 费限额（ 元</w:t>
            </w:r>
            <w:r>
              <w:rPr>
                <w:rFonts w:ascii="Tahoma" w:eastAsia="Tahoma"/>
                <w:sz w:val="24"/>
              </w:rPr>
              <w:t>/</w:t>
            </w:r>
            <w:r>
              <w:rPr>
                <w:sz w:val="24"/>
              </w:rPr>
              <w:t>小时）</w:t>
            </w:r>
          </w:p>
        </w:tc>
        <w:tc>
          <w:tcPr>
            <w:tcW w:w="1299" w:type="dxa"/>
            <w:vMerge w:val="continue"/>
            <w:noWrap w:val="0"/>
            <w:vAlign w:val="top"/>
          </w:tcPr>
          <w:p>
            <w:pPr>
              <w:pStyle w:val="15"/>
              <w:spacing w:line="296" w:lineRule="exact"/>
              <w:ind w:left="10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5" w:type="dxa"/>
          <w:trHeight w:val="520" w:hRule="atLeast"/>
        </w:trPr>
        <w:tc>
          <w:tcPr>
            <w:tcW w:w="1215" w:type="dxa"/>
            <w:vMerge w:val="continue"/>
            <w:noWrap w:val="0"/>
            <w:vAlign w:val="top"/>
          </w:tcPr>
          <w:p>
            <w:pPr>
              <w:pStyle w:val="15"/>
              <w:rPr>
                <w:rFonts w:ascii="Times New Roman"/>
                <w:sz w:val="24"/>
              </w:rPr>
            </w:pPr>
          </w:p>
        </w:tc>
        <w:tc>
          <w:tcPr>
            <w:tcW w:w="945" w:type="dxa"/>
            <w:noWrap w:val="0"/>
            <w:vAlign w:val="top"/>
          </w:tcPr>
          <w:p>
            <w:pPr>
              <w:pStyle w:val="15"/>
              <w:spacing w:before="31"/>
              <w:ind w:left="108"/>
              <w:rPr>
                <w:rFonts w:ascii="Tahoma"/>
                <w:sz w:val="24"/>
              </w:rPr>
            </w:pPr>
            <w:r>
              <w:rPr>
                <w:rFonts w:ascii="Tahoma"/>
                <w:w w:val="116"/>
                <w:sz w:val="24"/>
              </w:rPr>
              <w:t>1</w:t>
            </w:r>
          </w:p>
        </w:tc>
        <w:tc>
          <w:tcPr>
            <w:tcW w:w="3561" w:type="dxa"/>
            <w:noWrap w:val="0"/>
            <w:vAlign w:val="top"/>
          </w:tcPr>
          <w:p>
            <w:pPr>
              <w:pStyle w:val="15"/>
              <w:spacing w:before="14"/>
              <w:ind w:left="106"/>
              <w:rPr>
                <w:sz w:val="24"/>
              </w:rPr>
            </w:pPr>
            <w:r>
              <w:rPr>
                <w:sz w:val="24"/>
              </w:rPr>
              <w:t>合伙人评估师或股东评估师</w:t>
            </w:r>
          </w:p>
        </w:tc>
        <w:tc>
          <w:tcPr>
            <w:tcW w:w="1740" w:type="dxa"/>
            <w:noWrap w:val="0"/>
            <w:vAlign w:val="top"/>
          </w:tcPr>
          <w:p>
            <w:pPr>
              <w:pStyle w:val="15"/>
              <w:spacing w:before="31"/>
              <w:ind w:left="106"/>
              <w:rPr>
                <w:rFonts w:ascii="Tahoma"/>
                <w:sz w:val="24"/>
              </w:rPr>
            </w:pPr>
            <w:r>
              <w:rPr>
                <w:rFonts w:ascii="Tahoma"/>
                <w:w w:val="115"/>
                <w:sz w:val="24"/>
              </w:rPr>
              <w:t>400</w:t>
            </w:r>
          </w:p>
        </w:tc>
        <w:tc>
          <w:tcPr>
            <w:tcW w:w="1299" w:type="dxa"/>
            <w:vMerge w:val="continue"/>
            <w:noWrap w:val="0"/>
            <w:vAlign w:val="top"/>
          </w:tcPr>
          <w:p>
            <w:pPr>
              <w:pStyle w:val="15"/>
              <w:rPr>
                <w:rFonts w:ascii="Times New Roman"/>
                <w:sz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0" w:hRule="atLeast"/>
        </w:trPr>
        <w:tc>
          <w:tcPr>
            <w:tcW w:w="1215" w:type="dxa"/>
            <w:vMerge w:val="continue"/>
            <w:noWrap w:val="0"/>
            <w:vAlign w:val="top"/>
          </w:tcPr>
          <w:p>
            <w:pPr>
              <w:pStyle w:val="15"/>
              <w:rPr>
                <w:rFonts w:ascii="Times New Roman"/>
                <w:sz w:val="26"/>
              </w:rPr>
            </w:pPr>
          </w:p>
        </w:tc>
        <w:tc>
          <w:tcPr>
            <w:tcW w:w="945" w:type="dxa"/>
            <w:tcBorders>
              <w:left w:val="single" w:color="000000" w:sz="4" w:space="0"/>
              <w:bottom w:val="single" w:color="000000" w:sz="4" w:space="0"/>
              <w:right w:val="single" w:color="000000" w:sz="4" w:space="0"/>
            </w:tcBorders>
            <w:noWrap w:val="0"/>
            <w:vAlign w:val="top"/>
          </w:tcPr>
          <w:p>
            <w:pPr>
              <w:pStyle w:val="15"/>
              <w:spacing w:before="31"/>
              <w:ind w:left="108"/>
              <w:rPr>
                <w:rFonts w:ascii="Tahoma"/>
                <w:sz w:val="24"/>
              </w:rPr>
            </w:pPr>
            <w:r>
              <w:rPr>
                <w:rFonts w:ascii="Tahoma"/>
                <w:w w:val="116"/>
                <w:sz w:val="24"/>
              </w:rPr>
              <w:t>2</w:t>
            </w:r>
          </w:p>
        </w:tc>
        <w:tc>
          <w:tcPr>
            <w:tcW w:w="3561" w:type="dxa"/>
            <w:tcBorders>
              <w:left w:val="single" w:color="000000" w:sz="4" w:space="0"/>
              <w:bottom w:val="single" w:color="000000" w:sz="4" w:space="0"/>
              <w:right w:val="single" w:color="000000" w:sz="4" w:space="0"/>
            </w:tcBorders>
            <w:noWrap w:val="0"/>
            <w:vAlign w:val="top"/>
          </w:tcPr>
          <w:p>
            <w:pPr>
              <w:pStyle w:val="15"/>
              <w:spacing w:before="12"/>
              <w:ind w:left="106"/>
              <w:rPr>
                <w:sz w:val="24"/>
              </w:rPr>
            </w:pPr>
            <w:r>
              <w:rPr>
                <w:sz w:val="24"/>
              </w:rPr>
              <w:t>资产评估师</w:t>
            </w:r>
          </w:p>
        </w:tc>
        <w:tc>
          <w:tcPr>
            <w:tcW w:w="1740" w:type="dxa"/>
            <w:tcBorders>
              <w:left w:val="single" w:color="000000" w:sz="4" w:space="0"/>
              <w:bottom w:val="single" w:color="000000" w:sz="4" w:space="0"/>
              <w:right w:val="single" w:color="000000" w:sz="4" w:space="0"/>
            </w:tcBorders>
            <w:noWrap w:val="0"/>
            <w:vAlign w:val="top"/>
          </w:tcPr>
          <w:p>
            <w:pPr>
              <w:pStyle w:val="15"/>
              <w:spacing w:before="31"/>
              <w:ind w:left="106"/>
              <w:rPr>
                <w:rFonts w:ascii="Tahoma"/>
                <w:sz w:val="24"/>
              </w:rPr>
            </w:pPr>
            <w:r>
              <w:rPr>
                <w:rFonts w:ascii="Tahoma"/>
                <w:w w:val="115"/>
                <w:sz w:val="24"/>
              </w:rPr>
              <w:t>300</w:t>
            </w:r>
          </w:p>
        </w:tc>
        <w:tc>
          <w:tcPr>
            <w:tcW w:w="1299" w:type="dxa"/>
            <w:vMerge w:val="continue"/>
            <w:noWrap w:val="0"/>
            <w:vAlign w:val="top"/>
          </w:tcPr>
          <w:p>
            <w:pPr>
              <w:pStyle w:val="15"/>
              <w:rPr>
                <w:rFonts w:ascii="Times New Roman"/>
                <w:sz w:val="26"/>
              </w:rPr>
            </w:pPr>
          </w:p>
        </w:tc>
        <w:tc>
          <w:tcPr>
            <w:tcW w:w="275" w:type="dxa"/>
            <w:vMerge w:val="restart"/>
            <w:tcBorders>
              <w:top w:val="single" w:color="000000" w:sz="6" w:space="0"/>
              <w:left w:val="single" w:color="000000" w:sz="4" w:space="0"/>
              <w:bottom w:val="nil"/>
              <w:right w:val="nil"/>
            </w:tcBorders>
            <w:noWrap w:val="0"/>
            <w:vAlign w:val="top"/>
          </w:tcPr>
          <w:p>
            <w:pPr>
              <w:pStyle w:val="15"/>
              <w:rPr>
                <w:rFonts w:ascii="Times New Roman"/>
                <w:sz w:val="2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8" w:hRule="atLeast"/>
        </w:trPr>
        <w:tc>
          <w:tcPr>
            <w:tcW w:w="1215" w:type="dxa"/>
            <w:vMerge w:val="continue"/>
            <w:tcBorders>
              <w:bottom w:val="single" w:color="000000" w:sz="4" w:space="0"/>
            </w:tcBorders>
            <w:noWrap w:val="0"/>
            <w:vAlign w:val="top"/>
          </w:tcPr>
          <w:p>
            <w:pPr>
              <w:rPr>
                <w:sz w:val="2"/>
                <w:szCs w:val="2"/>
              </w:rPr>
            </w:pPr>
          </w:p>
        </w:tc>
        <w:tc>
          <w:tcPr>
            <w:tcW w:w="945" w:type="dxa"/>
            <w:tcBorders>
              <w:top w:val="single" w:color="000000" w:sz="4" w:space="0"/>
              <w:left w:val="single" w:color="000000" w:sz="4" w:space="0"/>
              <w:bottom w:val="single" w:color="000000" w:sz="4" w:space="0"/>
              <w:right w:val="single" w:color="000000" w:sz="4" w:space="0"/>
            </w:tcBorders>
            <w:noWrap w:val="0"/>
            <w:vAlign w:val="top"/>
          </w:tcPr>
          <w:p>
            <w:pPr>
              <w:pStyle w:val="15"/>
              <w:spacing w:before="31"/>
              <w:ind w:left="108"/>
              <w:rPr>
                <w:rFonts w:ascii="Tahoma"/>
                <w:sz w:val="24"/>
              </w:rPr>
            </w:pPr>
            <w:r>
              <w:rPr>
                <w:rFonts w:ascii="Tahoma"/>
                <w:w w:val="116"/>
                <w:sz w:val="24"/>
              </w:rPr>
              <w:t>3</w:t>
            </w:r>
          </w:p>
        </w:tc>
        <w:tc>
          <w:tcPr>
            <w:tcW w:w="3561" w:type="dxa"/>
            <w:tcBorders>
              <w:top w:val="single" w:color="000000" w:sz="4" w:space="0"/>
              <w:left w:val="single" w:color="000000" w:sz="4" w:space="0"/>
              <w:bottom w:val="single" w:color="000000" w:sz="4" w:space="0"/>
              <w:right w:val="single" w:color="000000" w:sz="4" w:space="0"/>
            </w:tcBorders>
            <w:noWrap w:val="0"/>
            <w:vAlign w:val="top"/>
          </w:tcPr>
          <w:p>
            <w:pPr>
              <w:pStyle w:val="15"/>
              <w:spacing w:before="12"/>
              <w:ind w:left="106"/>
              <w:rPr>
                <w:sz w:val="24"/>
              </w:rPr>
            </w:pPr>
            <w:r>
              <w:rPr>
                <w:sz w:val="24"/>
              </w:rPr>
              <w:t>助理人员</w:t>
            </w:r>
          </w:p>
        </w:tc>
        <w:tc>
          <w:tcPr>
            <w:tcW w:w="1740" w:type="dxa"/>
            <w:tcBorders>
              <w:top w:val="single" w:color="000000" w:sz="4" w:space="0"/>
              <w:left w:val="single" w:color="000000" w:sz="4" w:space="0"/>
              <w:bottom w:val="single" w:color="000000" w:sz="4" w:space="0"/>
              <w:right w:val="single" w:color="000000" w:sz="4" w:space="0"/>
            </w:tcBorders>
            <w:noWrap w:val="0"/>
            <w:vAlign w:val="top"/>
          </w:tcPr>
          <w:p>
            <w:pPr>
              <w:pStyle w:val="15"/>
              <w:spacing w:before="31"/>
              <w:ind w:left="106"/>
              <w:rPr>
                <w:rFonts w:ascii="Tahoma"/>
                <w:sz w:val="24"/>
              </w:rPr>
            </w:pPr>
            <w:r>
              <w:rPr>
                <w:rFonts w:ascii="Tahoma"/>
                <w:w w:val="115"/>
                <w:sz w:val="24"/>
              </w:rPr>
              <w:t>180</w:t>
            </w:r>
          </w:p>
        </w:tc>
        <w:tc>
          <w:tcPr>
            <w:tcW w:w="1299" w:type="dxa"/>
            <w:vMerge w:val="continue"/>
            <w:tcBorders>
              <w:bottom w:val="single" w:color="000000" w:sz="4" w:space="0"/>
            </w:tcBorders>
            <w:noWrap w:val="0"/>
            <w:vAlign w:val="top"/>
          </w:tcPr>
          <w:p>
            <w:pPr>
              <w:rPr>
                <w:sz w:val="2"/>
                <w:szCs w:val="2"/>
              </w:rPr>
            </w:pPr>
          </w:p>
        </w:tc>
        <w:tc>
          <w:tcPr>
            <w:tcW w:w="275" w:type="dxa"/>
            <w:vMerge w:val="continue"/>
            <w:tcBorders>
              <w:top w:val="nil"/>
              <w:left w:val="single" w:color="000000" w:sz="4" w:space="0"/>
              <w:bottom w:val="nil"/>
              <w:right w:val="nil"/>
            </w:tcBorders>
            <w:noWrap w:val="0"/>
            <w:vAlign w:val="top"/>
          </w:tcPr>
          <w:p>
            <w:pPr>
              <w:rPr>
                <w:sz w:val="2"/>
                <w:szCs w:val="2"/>
              </w:rPr>
            </w:pPr>
          </w:p>
        </w:tc>
      </w:tr>
    </w:tbl>
    <w:p>
      <w:pPr>
        <w:widowControl/>
        <w:ind w:firstLine="210" w:firstLineChars="100"/>
        <w:jc w:val="left"/>
      </w:pPr>
    </w:p>
    <w:p>
      <w:pPr>
        <w:widowControl/>
        <w:ind w:firstLine="286" w:firstLineChars="100"/>
        <w:jc w:val="left"/>
        <w:rPr>
          <w:rFonts w:ascii="Calibri" w:hAnsi="Calibri" w:eastAsia="宋体" w:cs="Times New Roman"/>
          <w:b/>
          <w:bCs/>
          <w:spacing w:val="3"/>
          <w:kern w:val="2"/>
          <w:sz w:val="28"/>
          <w:szCs w:val="22"/>
          <w:lang w:val="en-US" w:eastAsia="zh-CN" w:bidi="ar-SA"/>
        </w:rPr>
      </w:pPr>
      <w:r>
        <w:rPr>
          <w:rFonts w:ascii="Calibri" w:hAnsi="Calibri" w:eastAsia="宋体" w:cs="Times New Roman"/>
          <w:b/>
          <w:bCs/>
          <w:spacing w:val="3"/>
          <w:kern w:val="2"/>
          <w:sz w:val="28"/>
          <w:szCs w:val="22"/>
          <w:lang w:val="en-US" w:eastAsia="zh-CN" w:bidi="ar-SA"/>
        </w:rPr>
        <w:t>备注：</w:t>
      </w:r>
    </w:p>
    <w:p>
      <w:pPr>
        <w:pStyle w:val="14"/>
        <w:numPr>
          <w:ilvl w:val="0"/>
          <w:numId w:val="3"/>
        </w:numPr>
        <w:tabs>
          <w:tab w:val="left" w:pos="1760"/>
        </w:tabs>
        <w:spacing w:before="253" w:after="0" w:line="405" w:lineRule="auto"/>
        <w:ind w:left="740" w:right="365" w:firstLine="559"/>
        <w:jc w:val="both"/>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供应商应根据各计费额度对应的最高费率或各人员类别对应的最</w:t>
      </w:r>
      <w:r>
        <w:rPr>
          <w:rFonts w:hint="eastAsia" w:ascii="仿宋_GB2312" w:hAnsi="仿宋_GB2312" w:eastAsia="仿宋_GB2312" w:cs="仿宋_GB2312"/>
          <w:spacing w:val="-4"/>
          <w:sz w:val="32"/>
          <w:szCs w:val="32"/>
        </w:rPr>
        <w:t>高收费限额提出统一的报价折扣率，</w:t>
      </w:r>
      <w:r>
        <w:rPr>
          <w:rFonts w:hint="eastAsia" w:ascii="仿宋_GB2312" w:hAnsi="仿宋_GB2312" w:eastAsia="仿宋_GB2312" w:cs="仿宋_GB2312"/>
          <w:spacing w:val="-18"/>
          <w:sz w:val="32"/>
          <w:szCs w:val="32"/>
        </w:rPr>
        <w:t>0</w:t>
      </w:r>
      <w:r>
        <w:rPr>
          <w:rFonts w:hint="eastAsia" w:ascii="仿宋_GB2312" w:hAnsi="仿宋_GB2312" w:eastAsia="仿宋_GB2312" w:cs="仿宋_GB2312"/>
          <w:spacing w:val="-8"/>
          <w:sz w:val="32"/>
          <w:szCs w:val="32"/>
        </w:rPr>
        <w:t>＜报价折扣率≤</w:t>
      </w:r>
      <w:r>
        <w:rPr>
          <w:rFonts w:hint="eastAsia" w:ascii="仿宋_GB2312" w:hAnsi="仿宋_GB2312" w:eastAsia="仿宋_GB2312" w:cs="仿宋_GB2312"/>
          <w:spacing w:val="-10"/>
          <w:sz w:val="32"/>
          <w:szCs w:val="32"/>
        </w:rPr>
        <w:t>100</w:t>
      </w:r>
      <w:r>
        <w:rPr>
          <w:rFonts w:hint="eastAsia" w:ascii="仿宋_GB2312" w:hAnsi="仿宋_GB2312" w:eastAsia="仿宋_GB2312" w:cs="仿宋_GB2312"/>
          <w:spacing w:val="-6"/>
          <w:sz w:val="32"/>
          <w:szCs w:val="32"/>
        </w:rPr>
        <w:t>％，否则按无效</w:t>
      </w:r>
      <w:r>
        <w:rPr>
          <w:rFonts w:hint="eastAsia" w:ascii="仿宋_GB2312" w:hAnsi="仿宋_GB2312" w:eastAsia="仿宋_GB2312" w:cs="仿宋_GB2312"/>
          <w:spacing w:val="-2"/>
          <w:w w:val="105"/>
          <w:sz w:val="32"/>
          <w:szCs w:val="32"/>
        </w:rPr>
        <w:t>投标处理：</w:t>
      </w:r>
    </w:p>
    <w:p>
      <w:pPr>
        <w:pStyle w:val="14"/>
        <w:numPr>
          <w:ilvl w:val="0"/>
          <w:numId w:val="0"/>
        </w:numPr>
        <w:tabs>
          <w:tab w:val="left" w:pos="2041"/>
        </w:tabs>
        <w:spacing w:before="5" w:after="0" w:line="408" w:lineRule="auto"/>
        <w:ind w:leftChars="200" w:right="226" w:rightChars="0" w:firstLine="924"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lang w:val="en-US" w:eastAsia="zh-CN"/>
        </w:rPr>
        <w:t>(1)</w:t>
      </w:r>
      <w:r>
        <w:rPr>
          <w:rFonts w:hint="eastAsia" w:ascii="仿宋_GB2312" w:hAnsi="仿宋_GB2312" w:eastAsia="仿宋_GB2312" w:cs="仿宋_GB2312"/>
          <w:spacing w:val="-6"/>
          <w:sz w:val="32"/>
          <w:szCs w:val="32"/>
        </w:rPr>
        <w:t>计件收费采取差额定率累进计算的办法收取评估费用。计件收费</w:t>
      </w:r>
      <w:r>
        <w:rPr>
          <w:rFonts w:hint="eastAsia" w:ascii="仿宋_GB2312" w:hAnsi="仿宋_GB2312" w:eastAsia="仿宋_GB2312" w:cs="仿宋_GB2312"/>
          <w:spacing w:val="-10"/>
          <w:sz w:val="32"/>
          <w:szCs w:val="32"/>
        </w:rPr>
        <w:t>计费基数：单项资产评估按帐面原值计费；整体资产评估按账面资产总额； 无形资产、无账面原值的资产评估按评估值；涉及债权、股权按债权额、股权额并适当考虑相关单位资产总额。计件收费报价折扣率是指以最高费</w:t>
      </w:r>
      <w:r>
        <w:rPr>
          <w:rFonts w:hint="eastAsia" w:ascii="仿宋_GB2312" w:hAnsi="仿宋_GB2312" w:eastAsia="仿宋_GB2312" w:cs="仿宋_GB2312"/>
          <w:spacing w:val="-3"/>
          <w:sz w:val="32"/>
          <w:szCs w:val="32"/>
        </w:rPr>
        <w:t xml:space="preserve">率为基准的折扣，如：计费额度为 </w:t>
      </w:r>
      <w:r>
        <w:rPr>
          <w:rFonts w:hint="eastAsia" w:ascii="仿宋_GB2312" w:hAnsi="仿宋_GB2312" w:eastAsia="仿宋_GB2312" w:cs="仿宋_GB2312"/>
          <w:sz w:val="32"/>
          <w:szCs w:val="32"/>
        </w:rPr>
        <w:t>100</w:t>
      </w:r>
      <w:r>
        <w:rPr>
          <w:rFonts w:hint="eastAsia" w:ascii="仿宋_GB2312" w:hAnsi="仿宋_GB2312" w:eastAsia="仿宋_GB2312" w:cs="仿宋_GB2312"/>
          <w:spacing w:val="3"/>
          <w:sz w:val="32"/>
          <w:szCs w:val="32"/>
        </w:rPr>
        <w:t xml:space="preserve">  </w:t>
      </w:r>
      <w:r>
        <w:rPr>
          <w:rFonts w:hint="eastAsia" w:ascii="仿宋_GB2312" w:hAnsi="仿宋_GB2312" w:eastAsia="仿宋_GB2312" w:cs="仿宋_GB2312"/>
          <w:spacing w:val="-4"/>
          <w:sz w:val="32"/>
          <w:szCs w:val="32"/>
        </w:rPr>
        <w:t>以下</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pacing w:val="19"/>
          <w:sz w:val="32"/>
          <w:szCs w:val="32"/>
        </w:rPr>
        <w:t xml:space="preserve">含 </w:t>
      </w:r>
      <w:r>
        <w:rPr>
          <w:rFonts w:hint="eastAsia" w:ascii="仿宋_GB2312" w:hAnsi="仿宋_GB2312" w:eastAsia="仿宋_GB2312" w:cs="仿宋_GB2312"/>
          <w:spacing w:val="-3"/>
          <w:sz w:val="32"/>
          <w:szCs w:val="32"/>
        </w:rPr>
        <w:t>100）时，若供应商的</w:t>
      </w:r>
      <w:r>
        <w:rPr>
          <w:rFonts w:hint="eastAsia" w:ascii="仿宋_GB2312" w:hAnsi="仿宋_GB2312" w:eastAsia="仿宋_GB2312" w:cs="仿宋_GB2312"/>
          <w:spacing w:val="16"/>
          <w:sz w:val="32"/>
          <w:szCs w:val="32"/>
        </w:rPr>
        <w:t xml:space="preserve">报价折扣率为 </w:t>
      </w:r>
      <w:r>
        <w:rPr>
          <w:rFonts w:hint="eastAsia" w:ascii="仿宋_GB2312" w:hAnsi="仿宋_GB2312" w:eastAsia="仿宋_GB2312" w:cs="仿宋_GB2312"/>
          <w:spacing w:val="2"/>
          <w:sz w:val="32"/>
          <w:szCs w:val="32"/>
        </w:rPr>
        <w:t>99.25</w:t>
      </w:r>
      <w:r>
        <w:rPr>
          <w:rFonts w:hint="eastAsia" w:ascii="仿宋_GB2312" w:hAnsi="仿宋_GB2312" w:eastAsia="仿宋_GB2312" w:cs="仿宋_GB2312"/>
          <w:spacing w:val="4"/>
          <w:sz w:val="32"/>
          <w:szCs w:val="32"/>
        </w:rPr>
        <w:t>％，则该供应商协议价格为该计费额度下的费率为7.44</w:t>
      </w:r>
      <w:r>
        <w:rPr>
          <w:rFonts w:hint="eastAsia" w:ascii="仿宋_GB2312" w:hAnsi="仿宋_GB2312" w:eastAsia="仿宋_GB2312" w:cs="仿宋_GB2312"/>
          <w:spacing w:val="8"/>
          <w:sz w:val="32"/>
          <w:szCs w:val="32"/>
        </w:rPr>
        <w:t xml:space="preserve">‰ </w:t>
      </w:r>
      <w:r>
        <w:rPr>
          <w:rFonts w:hint="eastAsia" w:ascii="仿宋_GB2312" w:hAnsi="仿宋_GB2312" w:eastAsia="仿宋_GB2312" w:cs="仿宋_GB2312"/>
          <w:sz w:val="32"/>
          <w:szCs w:val="32"/>
        </w:rPr>
        <w:t>(7.5‰*99.25％=7.44375‰）；</w:t>
      </w:r>
    </w:p>
    <w:p>
      <w:pPr>
        <w:pStyle w:val="14"/>
        <w:numPr>
          <w:ilvl w:val="0"/>
          <w:numId w:val="0"/>
        </w:numPr>
        <w:tabs>
          <w:tab w:val="left" w:pos="2041"/>
        </w:tabs>
        <w:spacing w:before="0" w:after="0" w:line="408" w:lineRule="auto"/>
        <w:ind w:leftChars="200" w:right="364" w:rightChars="0" w:firstLine="628"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lang w:val="en-US" w:eastAsia="zh-CN"/>
        </w:rPr>
        <w:t>(2)</w:t>
      </w:r>
      <w:r>
        <w:rPr>
          <w:rFonts w:hint="eastAsia" w:ascii="仿宋_GB2312" w:hAnsi="仿宋_GB2312" w:eastAsia="仿宋_GB2312" w:cs="仿宋_GB2312"/>
          <w:spacing w:val="-3"/>
          <w:sz w:val="32"/>
          <w:szCs w:val="32"/>
        </w:rPr>
        <w:t>计时收费报价折扣率是指以相应人员类别最高收费限额为基准</w:t>
      </w:r>
      <w:r>
        <w:rPr>
          <w:rFonts w:hint="eastAsia" w:ascii="仿宋_GB2312" w:hAnsi="仿宋_GB2312" w:eastAsia="仿宋_GB2312" w:cs="仿宋_GB2312"/>
          <w:sz w:val="32"/>
          <w:szCs w:val="32"/>
        </w:rPr>
        <w:t xml:space="preserve">的折扣，如：资产评估师的报价折扣率为 </w:t>
      </w:r>
      <w:r>
        <w:rPr>
          <w:rFonts w:hint="eastAsia" w:ascii="仿宋_GB2312" w:hAnsi="仿宋_GB2312" w:eastAsia="仿宋_GB2312" w:cs="仿宋_GB2312"/>
          <w:spacing w:val="-4"/>
          <w:sz w:val="32"/>
          <w:szCs w:val="32"/>
        </w:rPr>
        <w:t>99.25</w:t>
      </w:r>
      <w:r>
        <w:rPr>
          <w:rFonts w:hint="eastAsia" w:ascii="仿宋_GB2312" w:hAnsi="仿宋_GB2312" w:eastAsia="仿宋_GB2312" w:cs="仿宋_GB2312"/>
          <w:spacing w:val="-3"/>
          <w:sz w:val="32"/>
          <w:szCs w:val="32"/>
        </w:rPr>
        <w:t>％，则该供应商协议价格</w:t>
      </w:r>
      <w:r>
        <w:rPr>
          <w:rFonts w:hint="eastAsia" w:ascii="仿宋_GB2312" w:hAnsi="仿宋_GB2312" w:eastAsia="仿宋_GB2312" w:cs="仿宋_GB2312"/>
          <w:spacing w:val="7"/>
          <w:sz w:val="32"/>
          <w:szCs w:val="32"/>
        </w:rPr>
        <w:t xml:space="preserve">为资产评估师收费为 </w:t>
      </w:r>
      <w:r>
        <w:rPr>
          <w:rFonts w:hint="eastAsia" w:ascii="仿宋_GB2312" w:hAnsi="仿宋_GB2312" w:eastAsia="仿宋_GB2312" w:cs="仿宋_GB2312"/>
          <w:sz w:val="32"/>
          <w:szCs w:val="32"/>
        </w:rPr>
        <w:t>297.775</w:t>
      </w:r>
      <w:r>
        <w:rPr>
          <w:rFonts w:hint="eastAsia" w:ascii="仿宋_GB2312" w:hAnsi="仿宋_GB2312" w:eastAsia="仿宋_GB2312" w:cs="仿宋_GB2312"/>
          <w:spacing w:val="71"/>
          <w:sz w:val="32"/>
          <w:szCs w:val="32"/>
        </w:rPr>
        <w:t xml:space="preserve"> </w:t>
      </w:r>
      <w:r>
        <w:rPr>
          <w:rFonts w:hint="eastAsia" w:ascii="仿宋_GB2312" w:hAnsi="仿宋_GB2312" w:eastAsia="仿宋_GB2312" w:cs="仿宋_GB2312"/>
          <w:spacing w:val="7"/>
          <w:sz w:val="32"/>
          <w:szCs w:val="32"/>
        </w:rPr>
        <w:t>元</w:t>
      </w:r>
      <w:r>
        <w:rPr>
          <w:rFonts w:hint="eastAsia" w:ascii="仿宋_GB2312" w:hAnsi="仿宋_GB2312" w:eastAsia="仿宋_GB2312" w:cs="仿宋_GB2312"/>
          <w:spacing w:val="10"/>
          <w:sz w:val="32"/>
          <w:szCs w:val="32"/>
        </w:rPr>
        <w:t>/</w:t>
      </w:r>
      <w:r>
        <w:rPr>
          <w:rFonts w:hint="eastAsia" w:ascii="仿宋_GB2312" w:hAnsi="仿宋_GB2312" w:eastAsia="仿宋_GB2312" w:cs="仿宋_GB2312"/>
          <w:spacing w:val="16"/>
          <w:sz w:val="32"/>
          <w:szCs w:val="32"/>
        </w:rPr>
        <w:t xml:space="preserve">小时 </w:t>
      </w:r>
      <w:r>
        <w:rPr>
          <w:rFonts w:hint="eastAsia" w:ascii="仿宋_GB2312" w:hAnsi="仿宋_GB2312" w:eastAsia="仿宋_GB2312" w:cs="仿宋_GB2312"/>
          <w:sz w:val="32"/>
          <w:szCs w:val="32"/>
        </w:rPr>
        <w:t>（300*99.25％=297.775</w:t>
      </w:r>
      <w:r>
        <w:rPr>
          <w:rFonts w:hint="eastAsia" w:ascii="仿宋_GB2312" w:hAnsi="仿宋_GB2312" w:eastAsia="仿宋_GB2312" w:cs="仿宋_GB2312"/>
          <w:spacing w:val="72"/>
          <w:sz w:val="32"/>
          <w:szCs w:val="32"/>
        </w:rPr>
        <w:t xml:space="preserve"> </w:t>
      </w:r>
      <w:r>
        <w:rPr>
          <w:rFonts w:hint="eastAsia" w:ascii="仿宋_GB2312" w:hAnsi="仿宋_GB2312" w:eastAsia="仿宋_GB2312" w:cs="仿宋_GB2312"/>
          <w:spacing w:val="9"/>
          <w:sz w:val="32"/>
          <w:szCs w:val="32"/>
        </w:rPr>
        <w:t>元</w:t>
      </w:r>
      <w:r>
        <w:rPr>
          <w:rFonts w:hint="eastAsia" w:ascii="仿宋_GB2312" w:hAnsi="仿宋_GB2312" w:eastAsia="仿宋_GB2312" w:cs="仿宋_GB2312"/>
          <w:spacing w:val="8"/>
          <w:sz w:val="32"/>
          <w:szCs w:val="32"/>
        </w:rPr>
        <w:t xml:space="preserve">/ </w:t>
      </w:r>
      <w:r>
        <w:rPr>
          <w:rFonts w:hint="eastAsia" w:ascii="仿宋_GB2312" w:hAnsi="仿宋_GB2312" w:eastAsia="仿宋_GB2312" w:cs="仿宋_GB2312"/>
          <w:sz w:val="32"/>
          <w:szCs w:val="32"/>
        </w:rPr>
        <w:t>小时</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z w:val="32"/>
          <w:szCs w:val="32"/>
        </w:rPr>
        <w:t>。</w:t>
      </w:r>
    </w:p>
    <w:p>
      <w:pPr>
        <w:pStyle w:val="14"/>
        <w:numPr>
          <w:ilvl w:val="0"/>
          <w:numId w:val="0"/>
        </w:numPr>
        <w:tabs>
          <w:tab w:val="left" w:pos="1760"/>
        </w:tabs>
        <w:spacing w:before="251" w:after="0" w:line="408" w:lineRule="auto"/>
        <w:ind w:leftChars="200" w:right="365" w:rightChars="0" w:firstLine="596" w:firstLineChars="200"/>
        <w:jc w:val="both"/>
        <w:rPr>
          <w:rFonts w:hint="eastAsia" w:ascii="仿宋_GB2312" w:hAnsi="仿宋_GB2312" w:eastAsia="仿宋_GB2312" w:cs="仿宋_GB2312"/>
          <w:spacing w:val="-5"/>
          <w:sz w:val="32"/>
          <w:szCs w:val="32"/>
          <w:lang w:eastAsia="zh-CN"/>
        </w:rPr>
      </w:pPr>
      <w:r>
        <w:rPr>
          <w:rFonts w:hint="eastAsia" w:ascii="仿宋_GB2312" w:hAnsi="仿宋_GB2312" w:eastAsia="仿宋_GB2312" w:cs="仿宋_GB2312"/>
          <w:spacing w:val="-11"/>
          <w:sz w:val="32"/>
          <w:szCs w:val="32"/>
          <w:lang w:val="en-US" w:eastAsia="zh-CN"/>
        </w:rPr>
        <w:t>2.</w:t>
      </w:r>
      <w:r>
        <w:rPr>
          <w:rFonts w:hint="eastAsia" w:ascii="仿宋_GB2312" w:hAnsi="仿宋_GB2312" w:eastAsia="仿宋_GB2312" w:cs="仿宋_GB2312"/>
          <w:spacing w:val="-11"/>
          <w:sz w:val="32"/>
          <w:szCs w:val="32"/>
        </w:rPr>
        <w:t>对于计件收费起收点，供应商应满足下列要求并提供书面承诺：经过报价折扣计算的收费费用小于最低起收点时，按最低起收点收取，最低</w:t>
      </w:r>
      <w:r>
        <w:rPr>
          <w:rFonts w:hint="eastAsia" w:ascii="仿宋_GB2312" w:hAnsi="仿宋_GB2312" w:eastAsia="仿宋_GB2312" w:cs="仿宋_GB2312"/>
          <w:spacing w:val="-5"/>
          <w:sz w:val="32"/>
          <w:szCs w:val="32"/>
        </w:rPr>
        <w:t>起收点须满足下表要求</w:t>
      </w:r>
      <w:r>
        <w:rPr>
          <w:rFonts w:hint="eastAsia" w:ascii="仿宋_GB2312" w:hAnsi="仿宋_GB2312" w:eastAsia="仿宋_GB2312" w:cs="仿宋_GB2312"/>
          <w:spacing w:val="-5"/>
          <w:sz w:val="32"/>
          <w:szCs w:val="32"/>
          <w:lang w:eastAsia="zh-CN"/>
        </w:rPr>
        <w:t>。</w:t>
      </w:r>
    </w:p>
    <w:tbl>
      <w:tblPr>
        <w:tblStyle w:val="9"/>
        <w:tblW w:w="0" w:type="auto"/>
        <w:tblInd w:w="7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66"/>
        <w:gridCol w:w="2004"/>
        <w:gridCol w:w="44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3" w:hRule="atLeast"/>
        </w:trPr>
        <w:tc>
          <w:tcPr>
            <w:tcW w:w="1866" w:type="dxa"/>
            <w:noWrap w:val="0"/>
            <w:vAlign w:val="top"/>
          </w:tcPr>
          <w:p>
            <w:pPr>
              <w:pStyle w:val="15"/>
              <w:spacing w:before="4"/>
              <w:rPr>
                <w:rFonts w:hint="eastAsia" w:ascii="仿宋_GB2312" w:hAnsi="仿宋_GB2312" w:eastAsia="仿宋_GB2312" w:cs="仿宋_GB2312"/>
                <w:sz w:val="32"/>
                <w:szCs w:val="32"/>
              </w:rPr>
            </w:pPr>
          </w:p>
          <w:p>
            <w:pPr>
              <w:pStyle w:val="15"/>
              <w:ind w:left="106"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类别</w:t>
            </w:r>
          </w:p>
        </w:tc>
        <w:tc>
          <w:tcPr>
            <w:tcW w:w="2004" w:type="dxa"/>
            <w:noWrap w:val="0"/>
            <w:vAlign w:val="top"/>
          </w:tcPr>
          <w:p>
            <w:pPr>
              <w:pStyle w:val="15"/>
              <w:spacing w:before="4"/>
              <w:rPr>
                <w:rFonts w:hint="eastAsia" w:ascii="仿宋_GB2312" w:hAnsi="仿宋_GB2312" w:eastAsia="仿宋_GB2312" w:cs="仿宋_GB2312"/>
                <w:sz w:val="32"/>
                <w:szCs w:val="32"/>
              </w:rPr>
            </w:pPr>
          </w:p>
          <w:p>
            <w:pPr>
              <w:pStyle w:val="15"/>
              <w:ind w:left="108" w:right="-29"/>
              <w:jc w:val="center"/>
              <w:rPr>
                <w:rFonts w:hint="eastAsia" w:ascii="仿宋_GB2312" w:hAnsi="仿宋_GB2312" w:eastAsia="仿宋_GB2312" w:cs="仿宋_GB2312"/>
                <w:spacing w:val="-20"/>
                <w:sz w:val="32"/>
                <w:szCs w:val="32"/>
              </w:rPr>
            </w:pPr>
            <w:r>
              <w:rPr>
                <w:rFonts w:hint="eastAsia" w:ascii="仿宋_GB2312" w:hAnsi="仿宋_GB2312" w:eastAsia="仿宋_GB2312" w:cs="仿宋_GB2312"/>
                <w:spacing w:val="-20"/>
                <w:sz w:val="32"/>
                <w:szCs w:val="32"/>
              </w:rPr>
              <w:t>最低起收点</w:t>
            </w:r>
          </w:p>
          <w:p>
            <w:pPr>
              <w:pStyle w:val="15"/>
              <w:ind w:left="108" w:right="-29"/>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（万元</w:t>
            </w:r>
            <w:r>
              <w:rPr>
                <w:rFonts w:hint="eastAsia" w:ascii="仿宋_GB2312" w:hAnsi="仿宋_GB2312" w:eastAsia="仿宋_GB2312" w:cs="仿宋_GB2312"/>
                <w:spacing w:val="-13"/>
                <w:sz w:val="32"/>
                <w:szCs w:val="32"/>
              </w:rPr>
              <w:t>）</w:t>
            </w:r>
          </w:p>
        </w:tc>
        <w:tc>
          <w:tcPr>
            <w:tcW w:w="4491" w:type="dxa"/>
            <w:noWrap w:val="0"/>
            <w:vAlign w:val="top"/>
          </w:tcPr>
          <w:p>
            <w:pPr>
              <w:pStyle w:val="15"/>
              <w:spacing w:before="4"/>
              <w:rPr>
                <w:rFonts w:hint="eastAsia" w:ascii="仿宋_GB2312" w:hAnsi="仿宋_GB2312" w:eastAsia="仿宋_GB2312" w:cs="仿宋_GB2312"/>
                <w:sz w:val="32"/>
                <w:szCs w:val="32"/>
              </w:rPr>
            </w:pPr>
          </w:p>
          <w:p>
            <w:pPr>
              <w:pStyle w:val="15"/>
              <w:ind w:right="1984"/>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866" w:type="dxa"/>
            <w:noWrap w:val="0"/>
            <w:vAlign w:val="top"/>
          </w:tcPr>
          <w:p>
            <w:pPr>
              <w:pStyle w:val="15"/>
              <w:spacing w:before="10"/>
              <w:rPr>
                <w:rFonts w:hint="eastAsia" w:ascii="仿宋_GB2312" w:hAnsi="仿宋_GB2312" w:eastAsia="仿宋_GB2312" w:cs="仿宋_GB2312"/>
                <w:sz w:val="32"/>
                <w:szCs w:val="32"/>
              </w:rPr>
            </w:pPr>
          </w:p>
          <w:p>
            <w:pPr>
              <w:pStyle w:val="15"/>
              <w:ind w:left="744" w:leftChars="202"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一般评估</w:t>
            </w:r>
          </w:p>
          <w:p>
            <w:pPr>
              <w:pStyle w:val="15"/>
              <w:ind w:left="744" w:leftChars="202" w:hanging="320" w:hanging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业务</w:t>
            </w:r>
          </w:p>
        </w:tc>
        <w:tc>
          <w:tcPr>
            <w:tcW w:w="2004" w:type="dxa"/>
            <w:noWrap w:val="0"/>
            <w:vAlign w:val="top"/>
          </w:tcPr>
          <w:p>
            <w:pPr>
              <w:pStyle w:val="15"/>
              <w:spacing w:before="10"/>
              <w:rPr>
                <w:rFonts w:hint="eastAsia" w:ascii="仿宋_GB2312" w:hAnsi="仿宋_GB2312" w:eastAsia="仿宋_GB2312" w:cs="仿宋_GB2312"/>
                <w:sz w:val="32"/>
                <w:szCs w:val="32"/>
              </w:rPr>
            </w:pPr>
          </w:p>
          <w:p>
            <w:pPr>
              <w:pStyle w:val="15"/>
              <w:ind w:left="108" w:right="101"/>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2000</w:t>
            </w:r>
          </w:p>
        </w:tc>
        <w:tc>
          <w:tcPr>
            <w:tcW w:w="4491" w:type="dxa"/>
            <w:noWrap w:val="0"/>
            <w:vAlign w:val="top"/>
          </w:tcPr>
          <w:p>
            <w:pPr>
              <w:pStyle w:val="15"/>
              <w:spacing w:line="408" w:lineRule="auto"/>
              <w:ind w:left="333" w:right="67" w:hanging="22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以交易、出资、改制改组、清算、租赁、课税、清产核资等为目的的评估业务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1866" w:type="dxa"/>
            <w:noWrap w:val="0"/>
            <w:vAlign w:val="top"/>
          </w:tcPr>
          <w:p>
            <w:pPr>
              <w:pStyle w:val="15"/>
              <w:rPr>
                <w:rFonts w:hint="eastAsia" w:ascii="仿宋_GB2312" w:hAnsi="仿宋_GB2312" w:eastAsia="仿宋_GB2312" w:cs="仿宋_GB2312"/>
                <w:sz w:val="32"/>
                <w:szCs w:val="32"/>
              </w:rPr>
            </w:pPr>
          </w:p>
          <w:p>
            <w:pPr>
              <w:pStyle w:val="15"/>
              <w:spacing w:before="178"/>
              <w:ind w:left="424" w:leftChars="202"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特殊评估</w:t>
            </w:r>
          </w:p>
          <w:p>
            <w:pPr>
              <w:pStyle w:val="15"/>
              <w:spacing w:before="178"/>
              <w:ind w:left="424" w:leftChars="202"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业务</w:t>
            </w:r>
          </w:p>
        </w:tc>
        <w:tc>
          <w:tcPr>
            <w:tcW w:w="2004" w:type="dxa"/>
            <w:noWrap w:val="0"/>
            <w:vAlign w:val="top"/>
          </w:tcPr>
          <w:p>
            <w:pPr>
              <w:pStyle w:val="15"/>
              <w:rPr>
                <w:rFonts w:hint="eastAsia" w:ascii="仿宋_GB2312" w:hAnsi="仿宋_GB2312" w:eastAsia="仿宋_GB2312" w:cs="仿宋_GB2312"/>
                <w:sz w:val="32"/>
                <w:szCs w:val="32"/>
              </w:rPr>
            </w:pPr>
          </w:p>
          <w:p>
            <w:pPr>
              <w:pStyle w:val="15"/>
              <w:spacing w:before="178"/>
              <w:ind w:left="108" w:right="101"/>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10000</w:t>
            </w:r>
          </w:p>
        </w:tc>
        <w:tc>
          <w:tcPr>
            <w:tcW w:w="4491" w:type="dxa"/>
            <w:noWrap w:val="0"/>
            <w:vAlign w:val="top"/>
          </w:tcPr>
          <w:p>
            <w:pPr>
              <w:pStyle w:val="15"/>
              <w:spacing w:line="405" w:lineRule="auto"/>
              <w:ind w:left="108" w:right="-29"/>
              <w:rPr>
                <w:rFonts w:hint="eastAsia" w:ascii="仿宋_GB2312" w:hAnsi="仿宋_GB2312" w:eastAsia="仿宋_GB2312" w:cs="仿宋_GB2312"/>
                <w:sz w:val="32"/>
                <w:szCs w:val="32"/>
              </w:rPr>
            </w:pPr>
            <w:r>
              <w:rPr>
                <w:rFonts w:hint="eastAsia" w:ascii="仿宋_GB2312" w:hAnsi="仿宋_GB2312" w:eastAsia="仿宋_GB2312" w:cs="仿宋_GB2312"/>
                <w:spacing w:val="-14"/>
                <w:sz w:val="32"/>
                <w:szCs w:val="32"/>
              </w:rPr>
              <w:t>证券、期货、金融相关评估业务、以诉讼、</w:t>
            </w:r>
            <w:r>
              <w:rPr>
                <w:rFonts w:hint="eastAsia" w:ascii="仿宋_GB2312" w:hAnsi="仿宋_GB2312" w:eastAsia="仿宋_GB2312" w:cs="仿宋_GB2312"/>
                <w:spacing w:val="-3"/>
                <w:sz w:val="32"/>
                <w:szCs w:val="32"/>
              </w:rPr>
              <w:t>仲裁为目的的评估业务、以无形资产为评</w:t>
            </w:r>
            <w:r>
              <w:rPr>
                <w:rFonts w:hint="eastAsia" w:ascii="仿宋_GB2312" w:hAnsi="仿宋_GB2312" w:eastAsia="仿宋_GB2312" w:cs="仿宋_GB2312"/>
                <w:sz w:val="32"/>
                <w:szCs w:val="32"/>
              </w:rPr>
              <w:t>估对象的评估业务为特殊评估业务</w:t>
            </w: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before="313" w:beforeLines="100" w:after="0" w:line="360" w:lineRule="auto"/>
        <w:ind w:left="420" w:leftChars="0"/>
        <w:textAlignment w:val="auto"/>
        <w:rPr>
          <w:rFonts w:hint="eastAsia"/>
          <w:b/>
          <w:bCs/>
          <w:sz w:val="28"/>
          <w:szCs w:val="28"/>
          <w:lang w:eastAsia="zh-CN"/>
        </w:rPr>
      </w:pPr>
      <w:r>
        <w:rPr>
          <w:rFonts w:hint="eastAsia"/>
          <w:b/>
          <w:bCs/>
          <w:sz w:val="28"/>
          <w:szCs w:val="28"/>
          <w:lang w:eastAsia="zh-CN"/>
        </w:rPr>
        <w:t xml:space="preserve">（四）商务要求 </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560" w:firstLineChars="200"/>
        <w:textAlignment w:val="auto"/>
        <w:rPr>
          <w:rFonts w:hint="eastAsia"/>
          <w:sz w:val="28"/>
          <w:szCs w:val="28"/>
          <w:lang w:eastAsia="zh-CN"/>
        </w:rPr>
      </w:pPr>
      <w:r>
        <w:rPr>
          <w:rFonts w:hint="eastAsia"/>
          <w:sz w:val="28"/>
          <w:szCs w:val="28"/>
          <w:lang w:eastAsia="zh-CN"/>
        </w:rPr>
        <w:t>供应商报价应为含税价，包含后期服务实施全过程中可能发生的所有费用，供应商报价应充分考虑相关因素。供应商进行资产评估工作的组织准备、交通、食宿及办公用品等设备及其费用，由资产评估机构自理。</w:t>
      </w:r>
      <w:r>
        <w:rPr>
          <w:rFonts w:hint="eastAsia" w:eastAsia="宋体" w:cs="Times New Roman"/>
          <w:sz w:val="28"/>
          <w:szCs w:val="28"/>
          <w:lang w:val="en-US" w:eastAsia="zh-CN"/>
        </w:rPr>
        <w:t>（提供承诺函）</w:t>
      </w:r>
      <w:r>
        <w:rPr>
          <w:rFonts w:hint="eastAsia"/>
          <w:sz w:val="28"/>
          <w:szCs w:val="28"/>
          <w:lang w:eastAsia="zh-CN"/>
        </w:rPr>
        <w:t xml:space="preserve"> </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560" w:firstLineChars="200"/>
        <w:textAlignment w:val="auto"/>
        <w:rPr>
          <w:rFonts w:hint="eastAsia"/>
          <w:sz w:val="28"/>
          <w:szCs w:val="28"/>
          <w:lang w:eastAsia="zh-CN"/>
        </w:rPr>
      </w:pPr>
      <w:r>
        <w:rPr>
          <w:rFonts w:hint="eastAsia" w:eastAsia="宋体"/>
          <w:sz w:val="28"/>
          <w:szCs w:val="28"/>
          <w:lang w:eastAsia="zh-CN"/>
        </w:rPr>
        <w:t>供应商应当遵守法律、行政法规和评估准则，遵循独立、客观、公正的原则对受托资产进行评估，并对其出具的评估报告负责。发现存在的问题及其违反的政策、法规。对资产评估中发现的违法、违纪、违规问题,不得擅自进行处理。</w:t>
      </w:r>
      <w:r>
        <w:rPr>
          <w:rFonts w:hint="eastAsia" w:eastAsia="宋体" w:cs="Times New Roman"/>
          <w:sz w:val="28"/>
          <w:szCs w:val="28"/>
          <w:lang w:val="en-US" w:eastAsia="zh-CN"/>
        </w:rPr>
        <w:t>（提供承诺函）</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560" w:firstLineChars="200"/>
        <w:textAlignment w:val="auto"/>
        <w:rPr>
          <w:rFonts w:hint="eastAsia" w:eastAsia="宋体" w:cs="Times New Roman"/>
          <w:sz w:val="28"/>
          <w:szCs w:val="28"/>
          <w:lang w:val="en-US" w:eastAsia="zh-CN"/>
        </w:rPr>
      </w:pPr>
      <w:r>
        <w:rPr>
          <w:rFonts w:hint="eastAsia" w:eastAsia="宋体" w:cs="Times New Roman"/>
          <w:sz w:val="28"/>
          <w:szCs w:val="28"/>
          <w:lang w:val="en-US" w:eastAsia="zh-CN"/>
        </w:rPr>
        <w:t>合同履行期限：自封闭式框架协议签订之日起至2025年12月31日。</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560" w:firstLineChars="200"/>
        <w:textAlignment w:val="auto"/>
        <w:rPr>
          <w:rFonts w:hint="eastAsia" w:eastAsia="宋体" w:cs="Times New Roman"/>
          <w:sz w:val="28"/>
          <w:szCs w:val="28"/>
          <w:lang w:val="en-US" w:eastAsia="zh-CN"/>
        </w:rPr>
      </w:pPr>
      <w:r>
        <w:rPr>
          <w:rFonts w:hint="eastAsia" w:eastAsia="宋体" w:cs="Times New Roman"/>
          <w:sz w:val="28"/>
          <w:szCs w:val="28"/>
          <w:lang w:val="en-US" w:eastAsia="zh-CN"/>
        </w:rPr>
        <w:t>供应商入围后需入驻大冶市政府采购电子商城。</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560" w:firstLineChars="200"/>
        <w:textAlignment w:val="auto"/>
        <w:rPr>
          <w:rFonts w:hint="eastAsia" w:eastAsia="宋体" w:cs="Times New Roman"/>
          <w:sz w:val="28"/>
          <w:szCs w:val="28"/>
          <w:lang w:val="en-US" w:eastAsia="zh-CN"/>
        </w:rPr>
      </w:pPr>
      <w:r>
        <w:rPr>
          <w:rFonts w:hint="eastAsia" w:ascii="汉仪叶叶相思体简" w:hAnsi="汉仪叶叶相思体简" w:eastAsia="汉仪叶叶相思体简" w:cs="汉仪叶叶相思体简"/>
          <w:sz w:val="28"/>
          <w:szCs w:val="28"/>
        </w:rPr>
        <w:t>★</w:t>
      </w:r>
      <w:r>
        <w:rPr>
          <w:rFonts w:hint="eastAsia" w:eastAsia="宋体" w:cs="Times New Roman"/>
          <w:sz w:val="28"/>
          <w:szCs w:val="28"/>
          <w:lang w:val="en-US" w:eastAsia="zh-CN"/>
        </w:rPr>
        <w:t>供应商应具备提供计时收费三类人员的服务能力。（提供相关证明材料）</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560" w:firstLineChars="200"/>
        <w:textAlignment w:val="auto"/>
        <w:rPr>
          <w:rFonts w:hint="eastAsia" w:eastAsia="宋体" w:cs="Times New Roman"/>
          <w:sz w:val="28"/>
          <w:szCs w:val="28"/>
          <w:lang w:val="en-US" w:eastAsia="zh-CN"/>
        </w:rPr>
      </w:pPr>
      <w:r>
        <w:rPr>
          <w:rFonts w:hint="eastAsia" w:eastAsia="宋体" w:cs="Times New Roman"/>
          <w:sz w:val="28"/>
          <w:szCs w:val="28"/>
          <w:lang w:val="en-US" w:eastAsia="zh-CN"/>
        </w:rPr>
        <w:t>严格依据征集文件要求和响应文件的承诺，向市直各级单位提供服务。不实行任何形式的区域限制，提出任何附加条款。全面履行响应承诺，圆满完成市直各级单位的相关服务工作，确保质量，提供快捷、方便、满意的服务。（提供承诺函）</w:t>
      </w:r>
    </w:p>
    <w:p>
      <w:pPr>
        <w:rPr>
          <w:rFonts w:ascii="仿宋" w:hAnsi="仿宋" w:eastAsia="仿宋"/>
          <w:sz w:val="32"/>
          <w:szCs w:val="32"/>
        </w:rPr>
      </w:pPr>
    </w:p>
    <w:p>
      <w:pPr>
        <w:numPr>
          <w:ilvl w:val="0"/>
          <w:numId w:val="0"/>
        </w:numPr>
        <w:ind w:leftChars="0"/>
        <w:rPr>
          <w:rFonts w:hint="eastAsia" w:ascii="宋体" w:hAnsi="宋体" w:cs="宋体"/>
          <w:sz w:val="24"/>
          <w:szCs w:val="24"/>
        </w:rPr>
      </w:pPr>
      <w:r>
        <w:rPr>
          <w:rFonts w:hint="eastAsia" w:ascii="仿宋" w:hAnsi="仿宋" w:eastAsia="仿宋"/>
          <w:sz w:val="24"/>
          <w:szCs w:val="24"/>
        </w:rPr>
        <w:t>附表1：资格审查表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261"/>
        <w:gridCol w:w="4440"/>
        <w:gridCol w:w="3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0"/>
              </w:numPr>
              <w:tabs>
                <w:tab w:val="left" w:pos="742"/>
              </w:tabs>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5701" w:type="dxa"/>
            <w:gridSpan w:val="2"/>
            <w:noWrap w:val="0"/>
            <w:vAlign w:val="center"/>
          </w:tcPr>
          <w:p>
            <w:pPr>
              <w:numPr>
                <w:ilvl w:val="0"/>
                <w:numId w:val="0"/>
              </w:numPr>
              <w:tabs>
                <w:tab w:val="left" w:pos="742"/>
              </w:tabs>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资格要求</w:t>
            </w:r>
          </w:p>
        </w:tc>
        <w:tc>
          <w:tcPr>
            <w:tcW w:w="3317" w:type="dxa"/>
            <w:noWrap w:val="0"/>
            <w:vAlign w:val="center"/>
          </w:tcPr>
          <w:p>
            <w:pPr>
              <w:numPr>
                <w:ilvl w:val="0"/>
                <w:numId w:val="0"/>
              </w:numPr>
              <w:tabs>
                <w:tab w:val="left" w:pos="742"/>
              </w:tabs>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须提供的资料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restart"/>
            <w:noWrap w:val="0"/>
            <w:vAlign w:val="center"/>
          </w:tcPr>
          <w:p>
            <w:pPr>
              <w:numPr>
                <w:ilvl w:val="0"/>
                <w:numId w:val="5"/>
              </w:numPr>
              <w:tabs>
                <w:tab w:val="left" w:pos="742"/>
              </w:tabs>
              <w:ind w:left="635" w:leftChars="0" w:hanging="425" w:firstLineChars="0"/>
              <w:jc w:val="center"/>
              <w:rPr>
                <w:rFonts w:hint="eastAsia" w:ascii="仿宋" w:hAnsi="仿宋" w:eastAsia="仿宋" w:cs="仿宋"/>
                <w:sz w:val="24"/>
                <w:szCs w:val="24"/>
                <w:vertAlign w:val="baseline"/>
                <w:lang w:val="en-US" w:eastAsia="zh-CN"/>
              </w:rPr>
            </w:pPr>
          </w:p>
        </w:tc>
        <w:tc>
          <w:tcPr>
            <w:tcW w:w="1261" w:type="dxa"/>
            <w:vMerge w:val="restart"/>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《中华人民共和国政府采购法》第二十二条规定</w:t>
            </w:r>
          </w:p>
        </w:tc>
        <w:tc>
          <w:tcPr>
            <w:tcW w:w="4440"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具有独立承担民事责任的能力</w:t>
            </w:r>
          </w:p>
        </w:tc>
        <w:tc>
          <w:tcPr>
            <w:tcW w:w="3317" w:type="dxa"/>
            <w:noWrap w:val="0"/>
            <w:vAlign w:val="center"/>
          </w:tcPr>
          <w:p>
            <w:pPr>
              <w:spacing w:beforeLines="0" w:afterLines="0" w:line="240" w:lineRule="auto"/>
              <w:jc w:val="both"/>
              <w:rPr>
                <w:rFonts w:hint="eastAsia" w:ascii="仿宋" w:hAnsi="仿宋" w:eastAsia="仿宋" w:cs="仿宋"/>
                <w:sz w:val="24"/>
                <w:szCs w:val="24"/>
                <w:highlight w:val="none"/>
                <w:vertAlign w:val="baseline"/>
                <w:lang w:val="zh-CN" w:eastAsia="zh-CN"/>
              </w:rPr>
            </w:pPr>
            <w:r>
              <w:rPr>
                <w:rFonts w:hint="eastAsia" w:ascii="仿宋" w:hAnsi="仿宋" w:eastAsia="仿宋" w:cs="仿宋"/>
                <w:color w:val="FF0000"/>
                <w:sz w:val="24"/>
                <w:szCs w:val="24"/>
                <w:highlight w:val="none"/>
              </w:rPr>
              <w:t>营业执照或事业单位法人证书或执业许可证（非企业专业服务机构）或个体工商户营业执照等证明文件</w:t>
            </w:r>
            <w:r>
              <w:rPr>
                <w:rFonts w:hint="eastAsia" w:ascii="仿宋" w:hAnsi="仿宋" w:eastAsia="仿宋" w:cs="仿宋"/>
                <w:color w:val="FF0000"/>
                <w:sz w:val="24"/>
                <w:szCs w:val="24"/>
                <w:highlight w:val="none"/>
                <w:lang w:eastAsia="zh-CN"/>
              </w:rPr>
              <w:t>。</w:t>
            </w:r>
            <w:r>
              <w:rPr>
                <w:rFonts w:hint="eastAsia" w:ascii="仿宋" w:hAnsi="仿宋" w:eastAsia="仿宋" w:cs="仿宋"/>
                <w:color w:val="auto"/>
                <w:sz w:val="21"/>
                <w:szCs w:val="21"/>
                <w:highlight w:val="none"/>
                <w:lang w:eastAsia="zh-CN"/>
              </w:rPr>
              <w:t>（银行、保险、石油石化、电力、电信等有行业特殊情况的，视为其总公司的分支机构具备独立承担民事责任的能力；其他行业总公司的分支机构不具备独立承担民事责任的能力）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noWrap w:val="0"/>
            <w:vAlign w:val="center"/>
          </w:tcPr>
          <w:p>
            <w:p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1261"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c>
          <w:tcPr>
            <w:tcW w:w="4440"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有依法缴纳税收和社会保障资金的良好记录</w:t>
            </w:r>
          </w:p>
        </w:tc>
        <w:tc>
          <w:tcPr>
            <w:tcW w:w="3317" w:type="dxa"/>
            <w:vMerge w:val="restart"/>
            <w:noWrap w:val="0"/>
            <w:vAlign w:val="center"/>
          </w:tcPr>
          <w:p>
            <w:pPr>
              <w:spacing w:beforeLines="0" w:afterLines="0" w:line="240" w:lineRule="auto"/>
              <w:jc w:val="both"/>
              <w:rPr>
                <w:rFonts w:hint="eastAsia" w:ascii="仿宋" w:hAnsi="仿宋" w:eastAsia="仿宋" w:cs="仿宋"/>
                <w:color w:val="FF0000"/>
                <w:sz w:val="24"/>
                <w:szCs w:val="24"/>
                <w:highlight w:val="none"/>
              </w:rPr>
            </w:pPr>
            <w:r>
              <w:rPr>
                <w:rFonts w:hint="eastAsia" w:ascii="仿宋" w:hAnsi="仿宋" w:eastAsia="仿宋" w:cs="仿宋"/>
                <w:color w:val="FF0000"/>
                <w:sz w:val="24"/>
                <w:szCs w:val="24"/>
                <w:highlight w:val="none"/>
              </w:rPr>
              <w:t>盖章的《资格条件承诺函》，承诺满足条件</w:t>
            </w:r>
            <w:r>
              <w:rPr>
                <w:rFonts w:hint="eastAsia" w:ascii="仿宋" w:hAnsi="仿宋" w:eastAsia="仿宋" w:cs="仿宋"/>
                <w:color w:val="FF0000"/>
                <w:sz w:val="24"/>
                <w:szCs w:val="24"/>
                <w:highlight w:val="none"/>
                <w:lang w:eastAsia="zh-CN"/>
              </w:rPr>
              <w:t>。</w:t>
            </w:r>
            <w:r>
              <w:rPr>
                <w:rFonts w:hint="eastAsia" w:ascii="仿宋" w:hAnsi="仿宋" w:eastAsia="仿宋" w:cs="仿宋"/>
                <w:color w:val="FF0000"/>
                <w:sz w:val="24"/>
                <w:szCs w:val="24"/>
                <w:highlight w:val="none"/>
              </w:rPr>
              <w:t>（格式详见征集文件第七章）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noWrap w:val="0"/>
            <w:vAlign w:val="center"/>
          </w:tcPr>
          <w:p>
            <w:p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1261"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c>
          <w:tcPr>
            <w:tcW w:w="4440"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未被列入失信被执行人、重大税收违法案件当事人名单，未被列入政府采购严重违法失信行为记录名单</w:t>
            </w:r>
          </w:p>
        </w:tc>
        <w:tc>
          <w:tcPr>
            <w:tcW w:w="3317"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noWrap w:val="0"/>
            <w:vAlign w:val="center"/>
          </w:tcPr>
          <w:p>
            <w:p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1261"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c>
          <w:tcPr>
            <w:tcW w:w="4440"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参加政府采购活动前3年内在经营活动中没有重大违法记录</w:t>
            </w:r>
          </w:p>
        </w:tc>
        <w:tc>
          <w:tcPr>
            <w:tcW w:w="3317"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5"/>
              </w:numPr>
              <w:tabs>
                <w:tab w:val="left" w:pos="742"/>
              </w:tabs>
              <w:ind w:left="635" w:leftChars="0" w:hanging="425" w:firstLineChars="0"/>
              <w:jc w:val="center"/>
              <w:rPr>
                <w:rFonts w:hint="eastAsia" w:ascii="仿宋" w:hAnsi="仿宋" w:eastAsia="仿宋" w:cs="仿宋"/>
                <w:sz w:val="24"/>
                <w:szCs w:val="24"/>
                <w:vertAlign w:val="baseline"/>
                <w:lang w:val="zh-CN"/>
              </w:rPr>
            </w:pPr>
          </w:p>
        </w:tc>
        <w:tc>
          <w:tcPr>
            <w:tcW w:w="5701" w:type="dxa"/>
            <w:gridSpan w:val="2"/>
            <w:noWrap w:val="0"/>
            <w:vAlign w:val="center"/>
          </w:tcPr>
          <w:p>
            <w:pPr>
              <w:pStyle w:val="6"/>
              <w:rPr>
                <w:rFonts w:hint="eastAsia" w:ascii="仿宋" w:hAnsi="仿宋" w:eastAsia="仿宋" w:cs="仿宋"/>
                <w:sz w:val="24"/>
                <w:szCs w:val="24"/>
                <w:vertAlign w:val="baseline"/>
                <w:lang w:val="zh-CN"/>
              </w:rPr>
            </w:pPr>
            <w:r>
              <w:rPr>
                <w:rFonts w:hint="eastAsia" w:ascii="仿宋" w:hAnsi="仿宋" w:eastAsia="仿宋" w:cs="仿宋"/>
                <w:sz w:val="24"/>
                <w:szCs w:val="24"/>
              </w:rPr>
              <w:t>具有履行合同所必需的设备和专业技术能力</w:t>
            </w:r>
            <w:r>
              <w:rPr>
                <w:rFonts w:hint="eastAsia" w:ascii="仿宋" w:hAnsi="仿宋" w:eastAsia="仿宋" w:cs="仿宋"/>
                <w:sz w:val="24"/>
                <w:szCs w:val="24"/>
                <w:lang w:eastAsia="zh-CN"/>
              </w:rPr>
              <w:t>的</w:t>
            </w:r>
            <w:r>
              <w:rPr>
                <w:rFonts w:hint="eastAsia" w:ascii="仿宋" w:hAnsi="仿宋" w:eastAsia="仿宋" w:cs="仿宋"/>
                <w:sz w:val="24"/>
                <w:szCs w:val="24"/>
              </w:rPr>
              <w:t>证明材料</w:t>
            </w:r>
          </w:p>
        </w:tc>
        <w:tc>
          <w:tcPr>
            <w:tcW w:w="3317"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提供相关的证明材料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5"/>
              </w:numPr>
              <w:tabs>
                <w:tab w:val="left" w:pos="742"/>
              </w:tabs>
              <w:ind w:left="635" w:leftChars="0" w:hanging="425" w:firstLineChars="0"/>
              <w:jc w:val="center"/>
              <w:rPr>
                <w:rFonts w:hint="eastAsia" w:ascii="仿宋" w:hAnsi="仿宋" w:eastAsia="仿宋" w:cs="仿宋"/>
                <w:sz w:val="24"/>
                <w:szCs w:val="24"/>
                <w:vertAlign w:val="baseline"/>
                <w:lang w:val="zh-CN"/>
              </w:rPr>
            </w:pPr>
          </w:p>
        </w:tc>
        <w:tc>
          <w:tcPr>
            <w:tcW w:w="5701" w:type="dxa"/>
            <w:gridSpan w:val="2"/>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为本采购项目提供整体设计、规范编制或者项目管理、监理、检测等服务的，不得再参加本项目的其他招标采购活动。</w:t>
            </w:r>
          </w:p>
        </w:tc>
        <w:tc>
          <w:tcPr>
            <w:tcW w:w="3317"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5"/>
              </w:numPr>
              <w:tabs>
                <w:tab w:val="left" w:pos="742"/>
              </w:tabs>
              <w:ind w:left="635" w:leftChars="0" w:hanging="425" w:firstLineChars="0"/>
              <w:jc w:val="center"/>
              <w:rPr>
                <w:rFonts w:hint="eastAsia" w:ascii="仿宋" w:hAnsi="仿宋" w:eastAsia="仿宋" w:cs="仿宋"/>
                <w:sz w:val="24"/>
                <w:szCs w:val="24"/>
                <w:vertAlign w:val="baseline"/>
                <w:lang w:val="zh-CN"/>
              </w:rPr>
            </w:pPr>
          </w:p>
        </w:tc>
        <w:tc>
          <w:tcPr>
            <w:tcW w:w="5701" w:type="dxa"/>
            <w:gridSpan w:val="2"/>
            <w:noWrap w:val="0"/>
            <w:vAlign w:val="center"/>
          </w:tcPr>
          <w:p>
            <w:pPr>
              <w:spacing w:beforeLines="0" w:afterLines="0" w:line="240" w:lineRule="auto"/>
              <w:jc w:val="both"/>
              <w:rPr>
                <w:rFonts w:hint="eastAsia" w:ascii="仿宋" w:hAnsi="仿宋" w:eastAsia="仿宋" w:cs="仿宋"/>
                <w:sz w:val="24"/>
                <w:szCs w:val="24"/>
                <w:highlight w:val="none"/>
              </w:rPr>
            </w:pPr>
            <w:r>
              <w:rPr>
                <w:rFonts w:hint="eastAsia" w:ascii="仿宋" w:hAnsi="仿宋" w:eastAsia="仿宋" w:cs="仿宋"/>
                <w:sz w:val="24"/>
                <w:szCs w:val="24"/>
              </w:rPr>
              <w:t>单位负责人为同一人或者存在直接控股、管理关系的不同供应商，不得参加本项目同一合同项下的政府采购活动。</w:t>
            </w:r>
          </w:p>
        </w:tc>
        <w:tc>
          <w:tcPr>
            <w:tcW w:w="3317" w:type="dxa"/>
            <w:noWrap w:val="0"/>
            <w:vAlign w:val="center"/>
          </w:tcPr>
          <w:p>
            <w:pPr>
              <w:numPr>
                <w:ilvl w:val="0"/>
                <w:numId w:val="0"/>
              </w:numPr>
              <w:tabs>
                <w:tab w:val="left" w:pos="742"/>
              </w:tabs>
              <w:spacing w:line="240" w:lineRule="auto"/>
              <w:jc w:val="both"/>
              <w:rPr>
                <w:rFonts w:hint="eastAsia" w:ascii="仿宋" w:hAnsi="仿宋" w:eastAsia="仿宋" w:cs="仿宋"/>
                <w:sz w:val="24"/>
                <w:szCs w:val="24"/>
                <w:highlight w:val="none"/>
                <w:vertAlign w:val="baseline"/>
                <w:lang w:val="zh-CN"/>
              </w:rPr>
            </w:pPr>
            <w:r>
              <w:rPr>
                <w:rFonts w:hint="eastAsia" w:ascii="仿宋" w:hAnsi="仿宋" w:eastAsia="仿宋" w:cs="仿宋"/>
                <w:sz w:val="24"/>
                <w:szCs w:val="24"/>
                <w:vertAlign w:val="baseline"/>
                <w:lang w:val="zh-CN"/>
              </w:rPr>
              <w:t>提供声明函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5"/>
              </w:numPr>
              <w:tabs>
                <w:tab w:val="left" w:pos="742"/>
              </w:tabs>
              <w:ind w:left="635" w:leftChars="0" w:hanging="425" w:firstLineChars="0"/>
              <w:jc w:val="center"/>
              <w:rPr>
                <w:rFonts w:hint="eastAsia" w:ascii="仿宋" w:hAnsi="仿宋" w:eastAsia="仿宋" w:cs="仿宋"/>
                <w:sz w:val="24"/>
                <w:szCs w:val="24"/>
                <w:vertAlign w:val="baseline"/>
                <w:lang w:val="zh-CN"/>
              </w:rPr>
            </w:pPr>
          </w:p>
        </w:tc>
        <w:tc>
          <w:tcPr>
            <w:tcW w:w="5701" w:type="dxa"/>
            <w:gridSpan w:val="2"/>
            <w:noWrap w:val="0"/>
            <w:vAlign w:val="center"/>
          </w:tcPr>
          <w:p>
            <w:pPr>
              <w:spacing w:beforeLines="0" w:afterLines="0" w:line="24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中小企业声明函</w:t>
            </w:r>
          </w:p>
        </w:tc>
        <w:tc>
          <w:tcPr>
            <w:tcW w:w="3317" w:type="dxa"/>
            <w:noWrap w:val="0"/>
            <w:vAlign w:val="center"/>
          </w:tcPr>
          <w:p>
            <w:pPr>
              <w:numPr>
                <w:ilvl w:val="0"/>
                <w:numId w:val="0"/>
              </w:numPr>
              <w:tabs>
                <w:tab w:val="left" w:pos="742"/>
              </w:tabs>
              <w:spacing w:line="240" w:lineRule="auto"/>
              <w:jc w:val="both"/>
              <w:rPr>
                <w:rFonts w:hint="eastAsia" w:ascii="仿宋" w:hAnsi="仿宋" w:eastAsia="仿宋" w:cs="仿宋"/>
                <w:color w:val="FF0000"/>
                <w:sz w:val="24"/>
                <w:szCs w:val="24"/>
                <w:highlight w:val="none"/>
                <w:vertAlign w:val="baseline"/>
                <w:lang w:val="zh-CN"/>
              </w:rPr>
            </w:pPr>
            <w:r>
              <w:rPr>
                <w:rFonts w:hint="eastAsia" w:ascii="仿宋" w:hAnsi="仿宋" w:eastAsia="仿宋" w:cs="仿宋"/>
                <w:sz w:val="24"/>
                <w:szCs w:val="24"/>
                <w:vertAlign w:val="baseline"/>
                <w:lang w:val="zh-CN"/>
              </w:rPr>
              <w:t>提供声明函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5"/>
              </w:numPr>
              <w:tabs>
                <w:tab w:val="left" w:pos="742"/>
              </w:tabs>
              <w:ind w:left="635" w:leftChars="0" w:hanging="425" w:firstLineChars="0"/>
              <w:jc w:val="center"/>
              <w:rPr>
                <w:rFonts w:hint="eastAsia" w:ascii="仿宋" w:hAnsi="仿宋" w:eastAsia="仿宋" w:cs="仿宋"/>
                <w:sz w:val="24"/>
                <w:szCs w:val="24"/>
                <w:vertAlign w:val="baseline"/>
                <w:lang w:val="zh-CN"/>
              </w:rPr>
            </w:pPr>
          </w:p>
        </w:tc>
        <w:tc>
          <w:tcPr>
            <w:tcW w:w="5701" w:type="dxa"/>
            <w:gridSpan w:val="2"/>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eastAsia="zh-CN"/>
              </w:rPr>
            </w:pPr>
            <w:r>
              <w:rPr>
                <w:rFonts w:hint="eastAsia" w:ascii="仿宋" w:hAnsi="仿宋" w:eastAsia="仿宋" w:cs="仿宋"/>
                <w:sz w:val="24"/>
                <w:szCs w:val="24"/>
                <w:vertAlign w:val="baseline"/>
                <w:lang w:val="zh-CN" w:eastAsia="zh-CN"/>
              </w:rPr>
              <w:t>法律法规规定的其他条件</w:t>
            </w:r>
          </w:p>
        </w:tc>
        <w:tc>
          <w:tcPr>
            <w:tcW w:w="3317"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提供相关资料</w:t>
            </w:r>
          </w:p>
        </w:tc>
      </w:tr>
    </w:tbl>
    <w:p>
      <w:pPr>
        <w:numPr>
          <w:ilvl w:val="0"/>
          <w:numId w:val="0"/>
        </w:numPr>
        <w:spacing w:line="360" w:lineRule="auto"/>
        <w:ind w:leftChars="0"/>
        <w:rPr>
          <w:rFonts w:hint="eastAsia" w:ascii="仿宋" w:hAnsi="仿宋" w:eastAsia="仿宋" w:cs="仿宋"/>
          <w:sz w:val="24"/>
          <w:szCs w:val="22"/>
        </w:rPr>
      </w:pPr>
      <w:r>
        <w:rPr>
          <w:rFonts w:hint="eastAsia" w:ascii="仿宋" w:hAnsi="仿宋" w:eastAsia="仿宋" w:cs="仿宋"/>
          <w:sz w:val="24"/>
          <w:szCs w:val="22"/>
        </w:rPr>
        <w:t>备注：</w:t>
      </w:r>
      <w:r>
        <w:rPr>
          <w:rFonts w:hint="eastAsia" w:ascii="仿宋" w:hAnsi="仿宋" w:eastAsia="仿宋" w:cs="仿宋"/>
          <w:sz w:val="24"/>
          <w:szCs w:val="22"/>
          <w:lang w:val="en-US" w:eastAsia="zh-CN"/>
        </w:rPr>
        <w:t>1.</w:t>
      </w:r>
      <w:r>
        <w:rPr>
          <w:rFonts w:hint="eastAsia" w:ascii="仿宋" w:hAnsi="仿宋" w:eastAsia="仿宋" w:cs="仿宋"/>
          <w:sz w:val="24"/>
          <w:szCs w:val="22"/>
        </w:rPr>
        <w:t>所有证书、证明文件包括按要求提供的官网截图必须是真实可查证的，须注明资料来源。</w:t>
      </w:r>
      <w:r>
        <w:rPr>
          <w:rFonts w:hint="eastAsia" w:ascii="仿宋" w:hAnsi="仿宋" w:eastAsia="仿宋" w:cs="仿宋"/>
          <w:b w:val="0"/>
          <w:bCs w:val="0"/>
          <w:sz w:val="24"/>
          <w:szCs w:val="22"/>
        </w:rPr>
        <w:t>资格证明文件应为</w:t>
      </w:r>
      <w:r>
        <w:rPr>
          <w:rFonts w:hint="eastAsia" w:ascii="仿宋" w:hAnsi="仿宋" w:eastAsia="仿宋" w:cs="仿宋"/>
          <w:b/>
          <w:bCs/>
          <w:sz w:val="24"/>
          <w:szCs w:val="22"/>
        </w:rPr>
        <w:t>原件的扫描件</w:t>
      </w:r>
      <w:r>
        <w:rPr>
          <w:rFonts w:hint="eastAsia" w:ascii="仿宋" w:hAnsi="仿宋" w:eastAsia="仿宋" w:cs="仿宋"/>
          <w:sz w:val="24"/>
          <w:szCs w:val="22"/>
        </w:rPr>
        <w:t>。所有证明材料须清晰可辨认，如因证明材料模糊无法辨认，缺页、漏页导致无法进行评审认定的责任由供应商自负。如发现弄虚作假将按照有关规定严肃处理。证明材料仅限于供应商本身，参股或控股单位及独立法人子公司的材料不能作为证明材料，但供应商兼并的企业的材料可作为证明材料。</w:t>
      </w:r>
    </w:p>
    <w:p>
      <w:pPr>
        <w:numPr>
          <w:ilvl w:val="0"/>
          <w:numId w:val="0"/>
        </w:numPr>
        <w:spacing w:line="360" w:lineRule="auto"/>
        <w:ind w:leftChars="0" w:firstLine="480" w:firstLineChars="200"/>
        <w:rPr>
          <w:rFonts w:hint="eastAsia" w:ascii="仿宋" w:hAnsi="仿宋" w:eastAsia="仿宋" w:cs="仿宋"/>
          <w:sz w:val="24"/>
          <w:szCs w:val="22"/>
          <w:lang w:eastAsia="zh-CN"/>
        </w:rPr>
      </w:pPr>
      <w:r>
        <w:rPr>
          <w:rFonts w:hint="eastAsia" w:ascii="宋体" w:hAnsi="宋体"/>
          <w:bCs/>
          <w:sz w:val="24"/>
          <w:szCs w:val="20"/>
          <w:lang w:val="en-US" w:eastAsia="zh-CN"/>
        </w:rPr>
        <w:t>2.</w:t>
      </w:r>
      <w:r>
        <w:rPr>
          <w:rFonts w:hint="eastAsia" w:ascii="仿宋" w:hAnsi="仿宋" w:eastAsia="仿宋" w:cs="仿宋"/>
          <w:sz w:val="24"/>
          <w:szCs w:val="22"/>
          <w:lang w:val="zh-CN"/>
        </w:rPr>
        <w:t>资格性审查出现以上情形之一的投标按照</w:t>
      </w:r>
      <w:r>
        <w:rPr>
          <w:rFonts w:hint="eastAsia" w:ascii="仿宋" w:hAnsi="仿宋" w:eastAsia="仿宋" w:cs="仿宋"/>
          <w:b/>
          <w:bCs/>
          <w:sz w:val="24"/>
          <w:szCs w:val="22"/>
          <w:lang w:val="zh-CN"/>
        </w:rPr>
        <w:t>无效投标处理。</w:t>
      </w:r>
    </w:p>
    <w:p>
      <w:pPr>
        <w:numPr>
          <w:ilvl w:val="0"/>
          <w:numId w:val="0"/>
        </w:numPr>
        <w:tabs>
          <w:tab w:val="left" w:pos="742"/>
        </w:tabs>
        <w:ind w:leftChars="104"/>
        <w:rPr>
          <w:rFonts w:hint="eastAsia" w:ascii="仿宋" w:hAnsi="仿宋" w:eastAsia="仿宋"/>
          <w:sz w:val="24"/>
          <w:szCs w:val="24"/>
        </w:rPr>
      </w:pPr>
      <w:r>
        <w:rPr>
          <w:rFonts w:hint="eastAsia" w:ascii="仿宋" w:hAnsi="仿宋" w:eastAsia="仿宋"/>
          <w:sz w:val="24"/>
          <w:szCs w:val="24"/>
        </w:rPr>
        <w:t>附表2：符合性审查表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2638"/>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50" w:type="dxa"/>
            <w:noWrap w:val="0"/>
            <w:vAlign w:val="center"/>
          </w:tcPr>
          <w:p>
            <w:pPr>
              <w:numPr>
                <w:ilvl w:val="0"/>
                <w:numId w:val="0"/>
              </w:numPr>
              <w:tabs>
                <w:tab w:val="left" w:pos="742"/>
              </w:tabs>
              <w:spacing w:line="24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638" w:type="dxa"/>
            <w:noWrap w:val="0"/>
            <w:vAlign w:val="center"/>
          </w:tcPr>
          <w:p>
            <w:pPr>
              <w:numPr>
                <w:ilvl w:val="0"/>
                <w:numId w:val="0"/>
              </w:numPr>
              <w:tabs>
                <w:tab w:val="left" w:pos="742"/>
              </w:tabs>
              <w:spacing w:line="24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条款内容</w:t>
            </w:r>
          </w:p>
        </w:tc>
        <w:tc>
          <w:tcPr>
            <w:tcW w:w="6352" w:type="dxa"/>
            <w:noWrap w:val="0"/>
            <w:vAlign w:val="center"/>
          </w:tcPr>
          <w:p>
            <w:pPr>
              <w:numPr>
                <w:ilvl w:val="0"/>
                <w:numId w:val="0"/>
              </w:numPr>
              <w:tabs>
                <w:tab w:val="left" w:pos="742"/>
              </w:tabs>
              <w:spacing w:line="24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numPr>
                <w:ilvl w:val="0"/>
                <w:numId w:val="0"/>
              </w:numPr>
              <w:tabs>
                <w:tab w:val="left" w:pos="742"/>
              </w:tabs>
              <w:spacing w:line="240" w:lineRule="auto"/>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响应文件的完整性</w:t>
            </w:r>
          </w:p>
        </w:tc>
        <w:tc>
          <w:tcPr>
            <w:tcW w:w="6352" w:type="dxa"/>
            <w:noWrap w:val="0"/>
            <w:vAlign w:val="center"/>
          </w:tcPr>
          <w:p>
            <w:pPr>
              <w:numPr>
                <w:ilvl w:val="0"/>
                <w:numId w:val="0"/>
              </w:numPr>
              <w:tabs>
                <w:tab w:val="left" w:pos="742"/>
              </w:tabs>
              <w:spacing w:line="240" w:lineRule="auto"/>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zh-CN"/>
              </w:rPr>
              <w:t>供应商的响应文件</w:t>
            </w:r>
            <w:r>
              <w:rPr>
                <w:rFonts w:hint="eastAsia" w:ascii="仿宋" w:hAnsi="仿宋" w:eastAsia="仿宋" w:cs="仿宋"/>
                <w:sz w:val="24"/>
                <w:szCs w:val="24"/>
                <w:vertAlign w:val="baseline"/>
                <w:lang w:val="en-US" w:eastAsia="zh-CN"/>
              </w:rPr>
              <w:t>应按照征集文件的要求提供</w:t>
            </w:r>
            <w:r>
              <w:rPr>
                <w:rFonts w:hint="eastAsia" w:ascii="仿宋" w:hAnsi="仿宋" w:eastAsia="仿宋" w:cs="仿宋"/>
                <w:sz w:val="24"/>
                <w:szCs w:val="24"/>
                <w:vertAlign w:val="baseline"/>
                <w:lang w:val="zh-CN"/>
              </w:rPr>
              <w:t>《投标书》、《开标一览表》、《分项报价表》。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供应商报价</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en-US" w:eastAsia="zh-CN"/>
              </w:rPr>
              <w:t>1.</w:t>
            </w:r>
            <w:r>
              <w:rPr>
                <w:rFonts w:hint="eastAsia" w:ascii="仿宋" w:hAnsi="仿宋" w:eastAsia="仿宋" w:cs="仿宋"/>
                <w:sz w:val="24"/>
                <w:szCs w:val="24"/>
                <w:vertAlign w:val="baseline"/>
                <w:lang w:val="zh-CN"/>
              </w:rPr>
              <w:t>供应商报价不得超过最高限价；</w:t>
            </w:r>
            <w:r>
              <w:rPr>
                <w:rFonts w:hint="eastAsia" w:ascii="仿宋" w:hAnsi="仿宋" w:eastAsia="仿宋" w:cs="仿宋"/>
                <w:sz w:val="24"/>
                <w:szCs w:val="24"/>
                <w:vertAlign w:val="baseline"/>
                <w:lang w:val="en-US" w:eastAsia="zh-CN"/>
              </w:rPr>
              <w:t>2.</w:t>
            </w:r>
            <w:r>
              <w:rPr>
                <w:rFonts w:hint="eastAsia" w:ascii="仿宋" w:hAnsi="仿宋" w:eastAsia="仿宋" w:cs="仿宋"/>
                <w:sz w:val="24"/>
                <w:szCs w:val="24"/>
                <w:vertAlign w:val="baseline"/>
                <w:lang w:val="zh-CN"/>
              </w:rPr>
              <w:t>报价内容不存在缺项、漏项；</w:t>
            </w:r>
            <w:r>
              <w:rPr>
                <w:rFonts w:hint="eastAsia" w:ascii="仿宋" w:hAnsi="仿宋" w:eastAsia="仿宋" w:cs="仿宋"/>
                <w:sz w:val="24"/>
                <w:szCs w:val="24"/>
                <w:vertAlign w:val="baseline"/>
                <w:lang w:val="en-US" w:eastAsia="zh-CN"/>
              </w:rPr>
              <w:t>3.不得</w:t>
            </w:r>
            <w:r>
              <w:rPr>
                <w:rFonts w:hint="eastAsia" w:ascii="仿宋" w:hAnsi="仿宋" w:eastAsia="仿宋" w:cs="仿宋"/>
                <w:sz w:val="24"/>
                <w:szCs w:val="24"/>
                <w:lang w:val="zh-CN"/>
              </w:rPr>
              <w:t>出现两个或两个以上不同报价。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lang w:val="zh-CN"/>
              </w:rPr>
              <w:t>投标方案</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lang w:val="en-US" w:eastAsia="zh-CN"/>
              </w:rPr>
              <w:t>响应文件不得</w:t>
            </w:r>
            <w:r>
              <w:rPr>
                <w:rFonts w:hint="eastAsia" w:ascii="仿宋" w:hAnsi="仿宋" w:eastAsia="仿宋" w:cs="仿宋"/>
                <w:sz w:val="24"/>
                <w:szCs w:val="24"/>
                <w:lang w:val="zh-CN"/>
              </w:rPr>
              <w:t>出现两个或两个以上投标方案。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响应文件有效期</w:t>
            </w:r>
          </w:p>
        </w:tc>
        <w:tc>
          <w:tcPr>
            <w:tcW w:w="6352" w:type="dxa"/>
            <w:noWrap w:val="0"/>
            <w:vAlign w:val="center"/>
          </w:tcPr>
          <w:p>
            <w:pPr>
              <w:spacing w:beforeLines="0" w:afterLines="0" w:line="240" w:lineRule="auto"/>
              <w:jc w:val="both"/>
              <w:rPr>
                <w:rFonts w:hint="eastAsia" w:ascii="仿宋" w:hAnsi="仿宋" w:eastAsia="仿宋" w:cs="仿宋"/>
                <w:sz w:val="24"/>
                <w:szCs w:val="24"/>
                <w:vertAlign w:val="baseline"/>
                <w:lang w:val="zh-CN" w:eastAsia="zh-CN"/>
              </w:rPr>
            </w:pPr>
            <w:r>
              <w:rPr>
                <w:rFonts w:hint="eastAsia" w:ascii="仿宋" w:hAnsi="仿宋" w:eastAsia="仿宋" w:cs="仿宋"/>
                <w:sz w:val="24"/>
                <w:szCs w:val="24"/>
              </w:rPr>
              <w:t>响应文件有效期不得少于90天</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盖章或签字</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eastAsia="zh-CN"/>
              </w:rPr>
            </w:pPr>
            <w:r>
              <w:rPr>
                <w:rFonts w:hint="eastAsia" w:ascii="仿宋" w:hAnsi="仿宋" w:eastAsia="仿宋" w:cs="仿宋"/>
                <w:sz w:val="24"/>
                <w:szCs w:val="24"/>
              </w:rPr>
              <w:t>供应商应使用CA数字证书加盖供应商的单位电子印章或扫描上传加盖单位公章的电子响应文件；要求“签字”的地方，供应商应使用CA 数字证书加盖法定代表人或授权委托人的个人电子印章或电子签名章或扫描上传法定代表人或授权委托人签字的电子响应文件</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供应商企业人员情况</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lang w:val="en-US" w:eastAsia="zh-CN"/>
              </w:rPr>
              <w:t>1.</w:t>
            </w:r>
            <w:r>
              <w:rPr>
                <w:rFonts w:hint="eastAsia" w:ascii="仿宋" w:hAnsi="仿宋" w:eastAsia="仿宋" w:cs="仿宋"/>
                <w:sz w:val="24"/>
                <w:szCs w:val="24"/>
                <w:lang w:val="zh-CN" w:eastAsia="zh-CN"/>
              </w:rPr>
              <w:t>目班子成员情况表；</w:t>
            </w:r>
            <w:r>
              <w:rPr>
                <w:rFonts w:hint="eastAsia" w:ascii="仿宋" w:hAnsi="仿宋" w:eastAsia="仿宋" w:cs="仿宋"/>
                <w:sz w:val="24"/>
                <w:szCs w:val="24"/>
                <w:lang w:val="en-US" w:eastAsia="zh-CN"/>
              </w:rPr>
              <w:t>2.</w:t>
            </w:r>
            <w:r>
              <w:rPr>
                <w:rFonts w:hint="eastAsia" w:ascii="仿宋" w:hAnsi="仿宋" w:eastAsia="仿宋" w:cs="仿宋"/>
                <w:sz w:val="24"/>
                <w:szCs w:val="24"/>
                <w:lang w:val="zh-CN" w:eastAsia="zh-CN"/>
              </w:rPr>
              <w:t>项目负责人、技术负责人简历表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rPr>
            </w:pPr>
            <w:r>
              <w:rPr>
                <w:rFonts w:hint="eastAsia" w:ascii="仿宋" w:hAnsi="仿宋" w:eastAsia="仿宋" w:cs="仿宋"/>
                <w:sz w:val="24"/>
                <w:szCs w:val="24"/>
                <w:lang w:eastAsia="zh-CN"/>
              </w:rPr>
              <w:t>供应商应满足第三章内容</w:t>
            </w:r>
          </w:p>
        </w:tc>
        <w:tc>
          <w:tcPr>
            <w:tcW w:w="6352" w:type="dxa"/>
            <w:noWrap w:val="0"/>
            <w:vAlign w:val="center"/>
          </w:tcPr>
          <w:p>
            <w:pPr>
              <w:numPr>
                <w:ilvl w:val="0"/>
                <w:numId w:val="0"/>
              </w:numPr>
              <w:tabs>
                <w:tab w:val="left" w:pos="742"/>
              </w:tabs>
              <w:spacing w:line="240" w:lineRule="auto"/>
              <w:ind w:left="0" w:leftChars="0" w:firstLine="0" w:firstLineChars="0"/>
              <w:jc w:val="both"/>
              <w:rPr>
                <w:rFonts w:hint="eastAsia" w:ascii="仿宋" w:hAnsi="仿宋" w:eastAsia="仿宋" w:cs="仿宋"/>
                <w:sz w:val="24"/>
                <w:szCs w:val="24"/>
              </w:rPr>
            </w:pPr>
            <w:r>
              <w:rPr>
                <w:rFonts w:hint="eastAsia" w:ascii="仿宋" w:hAnsi="仿宋" w:eastAsia="仿宋" w:cs="仿宋"/>
                <w:sz w:val="24"/>
                <w:szCs w:val="24"/>
                <w:vertAlign w:val="baseline"/>
                <w:lang w:val="en-US" w:eastAsia="zh-CN"/>
              </w:rPr>
              <w:t>供应商应满足征集文件第三章，技术规格、参数及要求带</w:t>
            </w:r>
            <w:r>
              <w:rPr>
                <w:rFonts w:hint="eastAsia" w:ascii="宋体" w:hAnsi="宋体" w:eastAsia="宋体" w:cs="Times New Roman"/>
                <w:b w:val="0"/>
                <w:bCs w:val="0"/>
                <w:color w:val="0C0C0C"/>
                <w:kern w:val="2"/>
                <w:sz w:val="28"/>
                <w:szCs w:val="28"/>
                <w:lang w:val="en-US" w:eastAsia="zh-CN" w:bidi="ar-SA"/>
              </w:rPr>
              <w:t>★</w:t>
            </w:r>
            <w:r>
              <w:rPr>
                <w:rFonts w:hint="eastAsia" w:ascii="仿宋" w:hAnsi="仿宋" w:eastAsia="仿宋" w:cs="仿宋"/>
                <w:sz w:val="24"/>
                <w:szCs w:val="24"/>
                <w:vertAlign w:val="baseline"/>
                <w:lang w:val="en-US" w:eastAsia="zh-CN"/>
              </w:rPr>
              <w:t>号条款，提供相关的证明材料。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rPr>
            </w:pPr>
            <w:r>
              <w:rPr>
                <w:rFonts w:hint="eastAsia" w:ascii="仿宋" w:hAnsi="仿宋" w:eastAsia="仿宋" w:cs="仿宋"/>
                <w:sz w:val="24"/>
                <w:szCs w:val="24"/>
                <w:vertAlign w:val="baseline"/>
                <w:lang w:val="zh-CN"/>
              </w:rPr>
              <w:t>附加条件</w:t>
            </w:r>
          </w:p>
        </w:tc>
        <w:tc>
          <w:tcPr>
            <w:tcW w:w="6352" w:type="dxa"/>
            <w:noWrap w:val="0"/>
            <w:vAlign w:val="center"/>
          </w:tcPr>
          <w:p>
            <w:pPr>
              <w:numPr>
                <w:ilvl w:val="0"/>
                <w:numId w:val="0"/>
              </w:numPr>
              <w:tabs>
                <w:tab w:val="left" w:pos="742"/>
              </w:tabs>
              <w:spacing w:line="240" w:lineRule="auto"/>
              <w:ind w:left="0" w:leftChars="0" w:firstLine="0" w:firstLineChars="0"/>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响应文件不得</w:t>
            </w:r>
            <w:r>
              <w:rPr>
                <w:rFonts w:hint="eastAsia" w:ascii="仿宋" w:hAnsi="仿宋" w:eastAsia="仿宋" w:cs="仿宋"/>
                <w:sz w:val="24"/>
                <w:szCs w:val="24"/>
                <w:vertAlign w:val="baseline"/>
                <w:lang w:val="zh-CN"/>
              </w:rPr>
              <w:t>含有征集人不能接受的附加条件。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rPr>
            </w:pPr>
            <w:r>
              <w:rPr>
                <w:rFonts w:hint="eastAsia" w:ascii="仿宋" w:hAnsi="仿宋" w:eastAsia="仿宋" w:cs="仿宋"/>
                <w:sz w:val="24"/>
                <w:szCs w:val="24"/>
              </w:rPr>
              <w:t>其他无效投标情形</w:t>
            </w:r>
          </w:p>
        </w:tc>
        <w:tc>
          <w:tcPr>
            <w:tcW w:w="6352" w:type="dxa"/>
            <w:noWrap w:val="0"/>
            <w:vAlign w:val="center"/>
          </w:tcPr>
          <w:p>
            <w:pPr>
              <w:numPr>
                <w:ilvl w:val="0"/>
                <w:numId w:val="0"/>
              </w:numPr>
              <w:tabs>
                <w:tab w:val="left" w:pos="742"/>
              </w:tabs>
              <w:spacing w:line="240" w:lineRule="auto"/>
              <w:ind w:left="0" w:leftChars="0" w:firstLine="0" w:firstLineChars="0"/>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供应商不得存在法律、法规和征集文件规定的其他无效响应情形。</w:t>
            </w:r>
          </w:p>
        </w:tc>
      </w:tr>
    </w:tbl>
    <w:p>
      <w:pPr>
        <w:numPr>
          <w:ilvl w:val="0"/>
          <w:numId w:val="0"/>
        </w:numPr>
        <w:spacing w:line="360" w:lineRule="auto"/>
        <w:ind w:leftChars="0" w:firstLine="480" w:firstLineChars="200"/>
        <w:rPr>
          <w:rFonts w:hint="eastAsia"/>
          <w:lang w:eastAsia="zh-CN"/>
        </w:rPr>
        <w:sectPr>
          <w:pgSz w:w="11906" w:h="16838"/>
          <w:pgMar w:top="1134" w:right="1191" w:bottom="1134" w:left="1191" w:header="851" w:footer="624" w:gutter="0"/>
          <w:pgBorders>
            <w:top w:val="none" w:sz="0" w:space="0"/>
            <w:left w:val="none" w:sz="0" w:space="0"/>
            <w:bottom w:val="none" w:sz="0" w:space="0"/>
            <w:right w:val="none" w:sz="0" w:space="0"/>
          </w:pgBorders>
          <w:cols w:space="720" w:num="1"/>
          <w:docGrid w:type="linesAndChars" w:linePitch="312" w:charSpace="0"/>
        </w:sectPr>
      </w:pPr>
      <w:r>
        <w:rPr>
          <w:rFonts w:hint="eastAsia" w:ascii="仿宋" w:hAnsi="仿宋" w:eastAsia="仿宋" w:cs="仿宋"/>
          <w:sz w:val="24"/>
          <w:szCs w:val="22"/>
          <w:lang w:val="zh-CN"/>
        </w:rPr>
        <w:t>符合性审查出现以上情形之一的投标按照</w:t>
      </w:r>
      <w:r>
        <w:rPr>
          <w:rFonts w:hint="eastAsia" w:ascii="仿宋" w:hAnsi="仿宋" w:eastAsia="仿宋" w:cs="仿宋"/>
          <w:b/>
          <w:bCs/>
          <w:sz w:val="24"/>
          <w:szCs w:val="22"/>
          <w:lang w:val="zh-CN"/>
        </w:rPr>
        <w:t>无效投标处理。</w:t>
      </w:r>
    </w:p>
    <w:p>
      <w:pPr>
        <w:pStyle w:val="3"/>
        <w:rPr>
          <w:rFonts w:hint="eastAsia" w:eastAsiaTheme="minorEastAsia"/>
          <w:lang w:eastAsia="zh-CN"/>
        </w:rPr>
      </w:pPr>
      <w:r>
        <w:rPr>
          <w:rFonts w:hint="eastAsia" w:eastAsiaTheme="minorEastAsia"/>
          <w:lang w:eastAsia="zh-CN"/>
        </w:rPr>
        <w:drawing>
          <wp:inline distT="0" distB="0" distL="114300" distR="114300">
            <wp:extent cx="2369820" cy="5266690"/>
            <wp:effectExtent l="0" t="0" r="7620" b="6350"/>
            <wp:docPr id="1" name="图片 1" descr="资产评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资产评估"/>
                    <pic:cNvPicPr>
                      <a:picLocks noChangeAspect="1"/>
                    </pic:cNvPicPr>
                  </pic:nvPicPr>
                  <pic:blipFill>
                    <a:blip r:embed="rId4"/>
                    <a:stretch>
                      <a:fillRect/>
                    </a:stretch>
                  </pic:blipFill>
                  <pic:spPr>
                    <a:xfrm>
                      <a:off x="0" y="0"/>
                      <a:ext cx="2369820" cy="5266690"/>
                    </a:xfrm>
                    <a:prstGeom prst="rect">
                      <a:avLst/>
                    </a:prstGeom>
                  </pic:spPr>
                </pic:pic>
              </a:graphicData>
            </a:graphic>
          </wp:inline>
        </w:drawing>
      </w:r>
      <w:bookmarkStart w:id="13" w:name="_GoBack"/>
      <w:bookmarkEnd w:id="13"/>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汉仪叶叶相思体简">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multilevel"/>
    <w:tmpl w:val="845B5372"/>
    <w:lvl w:ilvl="0" w:tentative="0">
      <w:start w:val="1"/>
      <w:numFmt w:val="decimal"/>
      <w:lvlText w:val="%1."/>
      <w:lvlJc w:val="left"/>
      <w:pPr>
        <w:ind w:left="740" w:hanging="460"/>
        <w:jc w:val="left"/>
      </w:pPr>
      <w:rPr>
        <w:rFonts w:hint="default" w:ascii="Tahoma" w:hAnsi="Tahoma" w:eastAsia="Tahoma" w:cs="Tahoma"/>
        <w:spacing w:val="-2"/>
        <w:w w:val="100"/>
        <w:sz w:val="26"/>
        <w:szCs w:val="26"/>
      </w:rPr>
    </w:lvl>
    <w:lvl w:ilvl="1" w:tentative="0">
      <w:start w:val="0"/>
      <w:numFmt w:val="bullet"/>
      <w:lvlText w:val="•"/>
      <w:lvlJc w:val="left"/>
      <w:pPr>
        <w:ind w:left="1679" w:hanging="460"/>
      </w:pPr>
      <w:rPr>
        <w:rFonts w:hint="default"/>
      </w:rPr>
    </w:lvl>
    <w:lvl w:ilvl="2" w:tentative="0">
      <w:start w:val="0"/>
      <w:numFmt w:val="bullet"/>
      <w:lvlText w:val="•"/>
      <w:lvlJc w:val="left"/>
      <w:pPr>
        <w:ind w:left="2618" w:hanging="460"/>
      </w:pPr>
      <w:rPr>
        <w:rFonts w:hint="default"/>
      </w:rPr>
    </w:lvl>
    <w:lvl w:ilvl="3" w:tentative="0">
      <w:start w:val="0"/>
      <w:numFmt w:val="bullet"/>
      <w:lvlText w:val="•"/>
      <w:lvlJc w:val="left"/>
      <w:pPr>
        <w:ind w:left="3557" w:hanging="460"/>
      </w:pPr>
      <w:rPr>
        <w:rFonts w:hint="default"/>
      </w:rPr>
    </w:lvl>
    <w:lvl w:ilvl="4" w:tentative="0">
      <w:start w:val="0"/>
      <w:numFmt w:val="bullet"/>
      <w:lvlText w:val="•"/>
      <w:lvlJc w:val="left"/>
      <w:pPr>
        <w:ind w:left="4496" w:hanging="460"/>
      </w:pPr>
      <w:rPr>
        <w:rFonts w:hint="default"/>
      </w:rPr>
    </w:lvl>
    <w:lvl w:ilvl="5" w:tentative="0">
      <w:start w:val="0"/>
      <w:numFmt w:val="bullet"/>
      <w:lvlText w:val="•"/>
      <w:lvlJc w:val="left"/>
      <w:pPr>
        <w:ind w:left="5435" w:hanging="460"/>
      </w:pPr>
      <w:rPr>
        <w:rFonts w:hint="default"/>
      </w:rPr>
    </w:lvl>
    <w:lvl w:ilvl="6" w:tentative="0">
      <w:start w:val="0"/>
      <w:numFmt w:val="bullet"/>
      <w:lvlText w:val="•"/>
      <w:lvlJc w:val="left"/>
      <w:pPr>
        <w:ind w:left="6374" w:hanging="460"/>
      </w:pPr>
      <w:rPr>
        <w:rFonts w:hint="default"/>
      </w:rPr>
    </w:lvl>
    <w:lvl w:ilvl="7" w:tentative="0">
      <w:start w:val="0"/>
      <w:numFmt w:val="bullet"/>
      <w:lvlText w:val="•"/>
      <w:lvlJc w:val="left"/>
      <w:pPr>
        <w:ind w:left="7313" w:hanging="460"/>
      </w:pPr>
      <w:rPr>
        <w:rFonts w:hint="default"/>
      </w:rPr>
    </w:lvl>
    <w:lvl w:ilvl="8" w:tentative="0">
      <w:start w:val="0"/>
      <w:numFmt w:val="bullet"/>
      <w:lvlText w:val="•"/>
      <w:lvlJc w:val="left"/>
      <w:pPr>
        <w:ind w:left="8252" w:hanging="460"/>
      </w:pPr>
      <w:rPr>
        <w:rFonts w:hint="default"/>
      </w:rPr>
    </w:lvl>
  </w:abstractNum>
  <w:abstractNum w:abstractNumId="1">
    <w:nsid w:val="FF3F944A"/>
    <w:multiLevelType w:val="singleLevel"/>
    <w:tmpl w:val="FF3F944A"/>
    <w:lvl w:ilvl="0" w:tentative="0">
      <w:start w:val="1"/>
      <w:numFmt w:val="decimal"/>
      <w:suff w:val="nothing"/>
      <w:lvlText w:val="%1．"/>
      <w:lvlJc w:val="left"/>
      <w:pPr>
        <w:ind w:left="0" w:firstLine="400"/>
      </w:pPr>
      <w:rPr>
        <w:rFonts w:hint="default"/>
      </w:rPr>
    </w:lvl>
  </w:abstractNum>
  <w:abstractNum w:abstractNumId="2">
    <w:nsid w:val="40A12B47"/>
    <w:multiLevelType w:val="multilevel"/>
    <w:tmpl w:val="40A12B47"/>
    <w:lvl w:ilvl="0" w:tentative="0">
      <w:start w:val="1"/>
      <w:numFmt w:val="japaneseCounting"/>
      <w:lvlText w:val="%1、"/>
      <w:lvlJc w:val="left"/>
      <w:pPr>
        <w:ind w:left="720" w:hanging="720"/>
      </w:pPr>
      <w:rPr>
        <w:rFonts w:hint="eastAsia" w:ascii="宋体" w:hAnsi="宋体" w:eastAsia="宋体" w:cs="宋体"/>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54F7B0"/>
    <w:multiLevelType w:val="singleLevel"/>
    <w:tmpl w:val="4754F7B0"/>
    <w:lvl w:ilvl="0" w:tentative="0">
      <w:start w:val="1"/>
      <w:numFmt w:val="decimal"/>
      <w:suff w:val="nothing"/>
      <w:lvlText w:val="%1"/>
      <w:lvlJc w:val="left"/>
      <w:pPr>
        <w:ind w:left="635" w:hanging="425"/>
      </w:pPr>
      <w:rPr>
        <w:rFonts w:hint="default"/>
      </w:rPr>
    </w:lvl>
  </w:abstractNum>
  <w:abstractNum w:abstractNumId="4">
    <w:nsid w:val="4B5A82E3"/>
    <w:multiLevelType w:val="singleLevel"/>
    <w:tmpl w:val="4B5A82E3"/>
    <w:lvl w:ilvl="0" w:tentative="0">
      <w:start w:val="1"/>
      <w:numFmt w:val="decimal"/>
      <w:suff w:val="nothing"/>
      <w:lvlText w:val="%1"/>
      <w:lvlJc w:val="left"/>
      <w:pPr>
        <w:ind w:left="425" w:hanging="425"/>
      </w:pPr>
      <w:rPr>
        <w:rFonts w:hint="default"/>
      </w:rPr>
    </w:lvl>
  </w:abstractNum>
  <w:abstractNum w:abstractNumId="5">
    <w:nsid w:val="7FA6FD66"/>
    <w:multiLevelType w:val="singleLevel"/>
    <w:tmpl w:val="7FA6FD66"/>
    <w:lvl w:ilvl="0" w:tentative="0">
      <w:start w:val="1"/>
      <w:numFmt w:val="decimal"/>
      <w:lvlText w:val="%1)"/>
      <w:lvlJc w:val="left"/>
      <w:pPr>
        <w:ind w:left="425" w:hanging="425"/>
      </w:pPr>
      <w:rPr>
        <w:rFonts w:hint="default"/>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2OGY5NTZmNDEwYzY0ZDM3OTUwMDYzYTJkZTRlNDgifQ=="/>
  </w:docVars>
  <w:rsids>
    <w:rsidRoot w:val="00B4459C"/>
    <w:rsid w:val="00063413"/>
    <w:rsid w:val="0008635F"/>
    <w:rsid w:val="0009294C"/>
    <w:rsid w:val="000C16BF"/>
    <w:rsid w:val="000E0CBB"/>
    <w:rsid w:val="00102401"/>
    <w:rsid w:val="00156B62"/>
    <w:rsid w:val="00192769"/>
    <w:rsid w:val="00193169"/>
    <w:rsid w:val="00207237"/>
    <w:rsid w:val="00244E6B"/>
    <w:rsid w:val="00246CD4"/>
    <w:rsid w:val="002700D9"/>
    <w:rsid w:val="002927F7"/>
    <w:rsid w:val="002C126F"/>
    <w:rsid w:val="002E567C"/>
    <w:rsid w:val="003229CA"/>
    <w:rsid w:val="00335B9D"/>
    <w:rsid w:val="00363338"/>
    <w:rsid w:val="00386F00"/>
    <w:rsid w:val="00396625"/>
    <w:rsid w:val="00462106"/>
    <w:rsid w:val="004E098C"/>
    <w:rsid w:val="00500BFF"/>
    <w:rsid w:val="00554828"/>
    <w:rsid w:val="005A29FC"/>
    <w:rsid w:val="00625E85"/>
    <w:rsid w:val="00655FCB"/>
    <w:rsid w:val="00657B14"/>
    <w:rsid w:val="006633B2"/>
    <w:rsid w:val="006C6011"/>
    <w:rsid w:val="006E3D81"/>
    <w:rsid w:val="00707D27"/>
    <w:rsid w:val="00862369"/>
    <w:rsid w:val="00876E86"/>
    <w:rsid w:val="008F7553"/>
    <w:rsid w:val="00925E29"/>
    <w:rsid w:val="00982A2A"/>
    <w:rsid w:val="009A60EC"/>
    <w:rsid w:val="009C3085"/>
    <w:rsid w:val="009D05D2"/>
    <w:rsid w:val="009D7D14"/>
    <w:rsid w:val="009E557D"/>
    <w:rsid w:val="009F741E"/>
    <w:rsid w:val="00A90B70"/>
    <w:rsid w:val="00AA464A"/>
    <w:rsid w:val="00AD0D37"/>
    <w:rsid w:val="00B4459C"/>
    <w:rsid w:val="00B93C2A"/>
    <w:rsid w:val="00C14AEE"/>
    <w:rsid w:val="00C20FBD"/>
    <w:rsid w:val="00C2137C"/>
    <w:rsid w:val="00C24DD9"/>
    <w:rsid w:val="00C94C78"/>
    <w:rsid w:val="00CC1E15"/>
    <w:rsid w:val="00CD6823"/>
    <w:rsid w:val="00CF185F"/>
    <w:rsid w:val="00D57BB8"/>
    <w:rsid w:val="00D71578"/>
    <w:rsid w:val="00DB5802"/>
    <w:rsid w:val="00DF22F0"/>
    <w:rsid w:val="00E00F62"/>
    <w:rsid w:val="00E227E0"/>
    <w:rsid w:val="00E50660"/>
    <w:rsid w:val="00E55F5B"/>
    <w:rsid w:val="00EE6BD6"/>
    <w:rsid w:val="00F24A68"/>
    <w:rsid w:val="00F31879"/>
    <w:rsid w:val="00F438E1"/>
    <w:rsid w:val="00F76E7C"/>
    <w:rsid w:val="00FA6EB0"/>
    <w:rsid w:val="00FE0677"/>
    <w:rsid w:val="01437C9C"/>
    <w:rsid w:val="028E13EB"/>
    <w:rsid w:val="02F96864"/>
    <w:rsid w:val="03CA0201"/>
    <w:rsid w:val="03CA6453"/>
    <w:rsid w:val="055B3DBE"/>
    <w:rsid w:val="056D178C"/>
    <w:rsid w:val="06CE0008"/>
    <w:rsid w:val="07373DFF"/>
    <w:rsid w:val="0748600C"/>
    <w:rsid w:val="07762B7A"/>
    <w:rsid w:val="09972933"/>
    <w:rsid w:val="0A0D52EB"/>
    <w:rsid w:val="0A2166A1"/>
    <w:rsid w:val="0A266E49"/>
    <w:rsid w:val="0B420FC5"/>
    <w:rsid w:val="0B5A4560"/>
    <w:rsid w:val="0C2D0D10"/>
    <w:rsid w:val="0D091D9A"/>
    <w:rsid w:val="0D314E4D"/>
    <w:rsid w:val="0D336E17"/>
    <w:rsid w:val="0D576FA9"/>
    <w:rsid w:val="0DB735A4"/>
    <w:rsid w:val="0DF90060"/>
    <w:rsid w:val="0F3343F1"/>
    <w:rsid w:val="0FD61344"/>
    <w:rsid w:val="10C16D46"/>
    <w:rsid w:val="12303925"/>
    <w:rsid w:val="125D13AD"/>
    <w:rsid w:val="12F31522"/>
    <w:rsid w:val="134C29E0"/>
    <w:rsid w:val="144162BD"/>
    <w:rsid w:val="15CA5E3E"/>
    <w:rsid w:val="15E433A4"/>
    <w:rsid w:val="1651063A"/>
    <w:rsid w:val="16882CAB"/>
    <w:rsid w:val="168E3310"/>
    <w:rsid w:val="192E7B16"/>
    <w:rsid w:val="19467ED2"/>
    <w:rsid w:val="19F636A6"/>
    <w:rsid w:val="1A872550"/>
    <w:rsid w:val="1AD63AE7"/>
    <w:rsid w:val="1C0F4EF3"/>
    <w:rsid w:val="1C4E5A1B"/>
    <w:rsid w:val="1C6E7E6B"/>
    <w:rsid w:val="1C7B4336"/>
    <w:rsid w:val="1D385D84"/>
    <w:rsid w:val="1E763007"/>
    <w:rsid w:val="1F840EA2"/>
    <w:rsid w:val="20340A84"/>
    <w:rsid w:val="20390790"/>
    <w:rsid w:val="20547378"/>
    <w:rsid w:val="20AA343C"/>
    <w:rsid w:val="218617B3"/>
    <w:rsid w:val="220B7F0B"/>
    <w:rsid w:val="23276020"/>
    <w:rsid w:val="238724DB"/>
    <w:rsid w:val="247164AE"/>
    <w:rsid w:val="24AF4B7D"/>
    <w:rsid w:val="24CA7C09"/>
    <w:rsid w:val="24FA6740"/>
    <w:rsid w:val="26864004"/>
    <w:rsid w:val="27463024"/>
    <w:rsid w:val="27715FFB"/>
    <w:rsid w:val="28C130D1"/>
    <w:rsid w:val="295D729E"/>
    <w:rsid w:val="29AE5D4B"/>
    <w:rsid w:val="2B0F4C24"/>
    <w:rsid w:val="2B7B0565"/>
    <w:rsid w:val="2D0A773C"/>
    <w:rsid w:val="2D0F4D53"/>
    <w:rsid w:val="2D4542D1"/>
    <w:rsid w:val="2DFE26D1"/>
    <w:rsid w:val="2ECD6C74"/>
    <w:rsid w:val="2F8E3899"/>
    <w:rsid w:val="2FB120F1"/>
    <w:rsid w:val="30BF439A"/>
    <w:rsid w:val="313C1E8F"/>
    <w:rsid w:val="321921D0"/>
    <w:rsid w:val="322A618B"/>
    <w:rsid w:val="33727DEA"/>
    <w:rsid w:val="33EC7B9C"/>
    <w:rsid w:val="342648A0"/>
    <w:rsid w:val="35410CCD"/>
    <w:rsid w:val="35775243"/>
    <w:rsid w:val="37CD3840"/>
    <w:rsid w:val="394C2E8B"/>
    <w:rsid w:val="3A0E1EEE"/>
    <w:rsid w:val="3B070E17"/>
    <w:rsid w:val="3B392F9B"/>
    <w:rsid w:val="40EA5463"/>
    <w:rsid w:val="40EF4F77"/>
    <w:rsid w:val="40FC6F44"/>
    <w:rsid w:val="419378A9"/>
    <w:rsid w:val="44FE55CD"/>
    <w:rsid w:val="47097F65"/>
    <w:rsid w:val="489B7043"/>
    <w:rsid w:val="48AC74A2"/>
    <w:rsid w:val="4A62606A"/>
    <w:rsid w:val="4AC960E9"/>
    <w:rsid w:val="4B3F0159"/>
    <w:rsid w:val="4BD3358B"/>
    <w:rsid w:val="4CFB27A6"/>
    <w:rsid w:val="4D9A1304"/>
    <w:rsid w:val="4DD97B58"/>
    <w:rsid w:val="4DF0398D"/>
    <w:rsid w:val="4E4361B3"/>
    <w:rsid w:val="4E8A08DC"/>
    <w:rsid w:val="4EC70B92"/>
    <w:rsid w:val="4F31425D"/>
    <w:rsid w:val="4F3B50DC"/>
    <w:rsid w:val="4FF534DD"/>
    <w:rsid w:val="50F5163A"/>
    <w:rsid w:val="51646B6C"/>
    <w:rsid w:val="51840FBC"/>
    <w:rsid w:val="53894668"/>
    <w:rsid w:val="54316AAD"/>
    <w:rsid w:val="54F16968"/>
    <w:rsid w:val="554C0043"/>
    <w:rsid w:val="556B6EC3"/>
    <w:rsid w:val="55C93441"/>
    <w:rsid w:val="57034731"/>
    <w:rsid w:val="58D77C23"/>
    <w:rsid w:val="58FE78A6"/>
    <w:rsid w:val="5A9304C2"/>
    <w:rsid w:val="5AA91A93"/>
    <w:rsid w:val="5B6B4F9B"/>
    <w:rsid w:val="5C78171D"/>
    <w:rsid w:val="5CB63FF4"/>
    <w:rsid w:val="5CE75E27"/>
    <w:rsid w:val="5D333896"/>
    <w:rsid w:val="5E734892"/>
    <w:rsid w:val="5ECB647C"/>
    <w:rsid w:val="60172FFB"/>
    <w:rsid w:val="60266CD4"/>
    <w:rsid w:val="60455DBA"/>
    <w:rsid w:val="60695F4D"/>
    <w:rsid w:val="60E5134B"/>
    <w:rsid w:val="613D1187"/>
    <w:rsid w:val="6280757E"/>
    <w:rsid w:val="62E47B0C"/>
    <w:rsid w:val="632919C3"/>
    <w:rsid w:val="63A101BA"/>
    <w:rsid w:val="644A1BF1"/>
    <w:rsid w:val="649B069F"/>
    <w:rsid w:val="64C37BF6"/>
    <w:rsid w:val="651C1188"/>
    <w:rsid w:val="66990C0E"/>
    <w:rsid w:val="6732696D"/>
    <w:rsid w:val="69054339"/>
    <w:rsid w:val="6A4518E5"/>
    <w:rsid w:val="6A8F03FC"/>
    <w:rsid w:val="6BD72BFA"/>
    <w:rsid w:val="6C0B435C"/>
    <w:rsid w:val="6D1C57AD"/>
    <w:rsid w:val="6DB14A8F"/>
    <w:rsid w:val="6E431938"/>
    <w:rsid w:val="6E9E14B7"/>
    <w:rsid w:val="6EFC7910"/>
    <w:rsid w:val="6F8609CD"/>
    <w:rsid w:val="6F8C57B4"/>
    <w:rsid w:val="705A39BC"/>
    <w:rsid w:val="7073427E"/>
    <w:rsid w:val="70A1703D"/>
    <w:rsid w:val="734819F2"/>
    <w:rsid w:val="736D76AA"/>
    <w:rsid w:val="74485A21"/>
    <w:rsid w:val="74942A15"/>
    <w:rsid w:val="75750A98"/>
    <w:rsid w:val="75930F1E"/>
    <w:rsid w:val="75C27D0B"/>
    <w:rsid w:val="75DE663D"/>
    <w:rsid w:val="76DE1F92"/>
    <w:rsid w:val="771F2A69"/>
    <w:rsid w:val="78EB6398"/>
    <w:rsid w:val="793A7D3B"/>
    <w:rsid w:val="79AB2CDA"/>
    <w:rsid w:val="7A340E9D"/>
    <w:rsid w:val="7AB853CE"/>
    <w:rsid w:val="7AF05916"/>
    <w:rsid w:val="7B5851C5"/>
    <w:rsid w:val="7B825CBD"/>
    <w:rsid w:val="7C174657"/>
    <w:rsid w:val="7D932EA2"/>
    <w:rsid w:val="7DAF266D"/>
    <w:rsid w:val="7E046E5D"/>
    <w:rsid w:val="7F201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qFormat="1" w:unhideWhenUsed="0" w:uiPriority="0" w:semiHidden="0"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paragraph" w:styleId="5">
    <w:name w:val="heading 2"/>
    <w:basedOn w:val="1"/>
    <w:next w:val="1"/>
    <w:qFormat/>
    <w:uiPriority w:val="9"/>
    <w:pPr>
      <w:keepNext/>
      <w:keepLines/>
      <w:spacing w:before="260" w:after="260" w:line="416" w:lineRule="auto"/>
      <w:outlineLvl w:val="1"/>
    </w:pPr>
    <w:rPr>
      <w:rFonts w:ascii="Cambria" w:hAnsi="Cambria"/>
      <w:b/>
      <w:bCs/>
      <w:kern w:val="0"/>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ascii="宋体" w:hAnsi="宋体" w:eastAsia="宋体" w:cs="宋体"/>
      <w:sz w:val="28"/>
      <w:szCs w:val="28"/>
    </w:rPr>
  </w:style>
  <w:style w:type="paragraph" w:styleId="3">
    <w:name w:val="toc 7"/>
    <w:basedOn w:val="1"/>
    <w:next w:val="1"/>
    <w:qFormat/>
    <w:uiPriority w:val="0"/>
    <w:pPr>
      <w:ind w:left="1680"/>
      <w:jc w:val="left"/>
    </w:pPr>
    <w:rPr>
      <w:rFonts w:ascii="Times New Roman" w:hAnsi="Times New Roman" w:cs="Times New Roman"/>
      <w:sz w:val="18"/>
      <w:szCs w:val="18"/>
    </w:rPr>
  </w:style>
  <w:style w:type="paragraph" w:styleId="6">
    <w:name w:val="Plain Text"/>
    <w:basedOn w:val="1"/>
    <w:next w:val="1"/>
    <w:qFormat/>
    <w:uiPriority w:val="0"/>
    <w:rPr>
      <w:rFonts w:ascii="宋体" w:hAnsi="Courier New"/>
      <w:kern w:val="0"/>
      <w:sz w:val="20"/>
      <w:szCs w:val="21"/>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styleId="14">
    <w:name w:val="List Paragraph"/>
    <w:basedOn w:val="1"/>
    <w:qFormat/>
    <w:uiPriority w:val="34"/>
    <w:pPr>
      <w:ind w:firstLine="420" w:firstLineChars="200"/>
    </w:p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1402</Words>
  <Characters>1535</Characters>
  <Lines>11</Lines>
  <Paragraphs>3</Paragraphs>
  <TotalTime>3</TotalTime>
  <ScaleCrop>false</ScaleCrop>
  <LinksUpToDate>false</LinksUpToDate>
  <CharactersWithSpaces>1541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2022-09-06T02:44:00Z</dcterms:created>
  <dc:creator>CJJ</dc:creator>
  <cp:lastModifiedBy>czy</cp:lastModifiedBy>
  <dcterms:modified xsi:type="dcterms:W3CDTF">2023-09-21T06:49:19Z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B2DF3D9BA809481585DAA3C4D6375236_13</vt:lpwstr>
  </property>
</Properties>
</file>