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C3" w:rsidRDefault="006652C3" w:rsidP="00A01F43">
      <w:pPr>
        <w:spacing w:line="360" w:lineRule="auto"/>
        <w:ind w:left="220" w:firstLine="420"/>
        <w:jc w:val="center"/>
        <w:outlineLvl w:val="0"/>
        <w:rPr>
          <w:rFonts w:ascii="方正黑体_GBK" w:eastAsia="方正黑体_GBK" w:hAnsi="方正黑体_GBK" w:cs="方正黑体_GBK" w:hint="eastAsia"/>
          <w:b/>
          <w:bCs/>
          <w:sz w:val="44"/>
          <w:szCs w:val="44"/>
        </w:rPr>
      </w:pPr>
      <w:bookmarkStart w:id="0" w:name="_Toc237100958"/>
      <w:r>
        <w:rPr>
          <w:rFonts w:ascii="方正黑体_GBK" w:eastAsia="方正黑体_GBK" w:hAnsi="方正黑体_GBK" w:cs="方正黑体_GBK" w:hint="eastAsia"/>
          <w:b/>
          <w:bCs/>
          <w:sz w:val="44"/>
          <w:szCs w:val="44"/>
        </w:rPr>
        <w:t>会计服务采购需求</w:t>
      </w:r>
    </w:p>
    <w:p w:rsidR="00A01F43" w:rsidRPr="006652C3" w:rsidRDefault="00A01F43" w:rsidP="00A01F43">
      <w:pPr>
        <w:spacing w:line="360" w:lineRule="auto"/>
        <w:ind w:left="220" w:firstLine="420"/>
        <w:jc w:val="center"/>
        <w:outlineLvl w:val="0"/>
        <w:rPr>
          <w:rFonts w:ascii="黑体" w:eastAsia="黑体" w:hAnsi="黑体"/>
          <w:b/>
          <w:sz w:val="30"/>
          <w:szCs w:val="30"/>
        </w:rPr>
      </w:pPr>
      <w:r w:rsidRPr="006652C3">
        <w:rPr>
          <w:rFonts w:ascii="方正黑体_GBK" w:eastAsia="方正黑体_GBK" w:hAnsi="方正黑体_GBK" w:cs="方正黑体_GBK" w:hint="eastAsia"/>
          <w:b/>
          <w:bCs/>
          <w:sz w:val="30"/>
          <w:szCs w:val="30"/>
        </w:rPr>
        <w:t xml:space="preserve">第三章  </w:t>
      </w:r>
      <w:bookmarkStart w:id="1" w:name="_Toc494561955"/>
      <w:bookmarkStart w:id="2" w:name="_Toc494561952"/>
      <w:bookmarkStart w:id="3" w:name="_Toc509501046"/>
      <w:bookmarkStart w:id="4" w:name="_Toc339378679"/>
      <w:bookmarkStart w:id="5" w:name="_Toc495861533"/>
      <w:bookmarkStart w:id="6" w:name="_Toc338065593"/>
      <w:r w:rsidRPr="006652C3">
        <w:rPr>
          <w:rFonts w:ascii="方正黑体_GBK" w:eastAsia="方正黑体_GBK" w:hAnsi="方正黑体_GBK" w:cs="方正黑体_GBK" w:hint="eastAsia"/>
          <w:b/>
          <w:bCs/>
          <w:sz w:val="30"/>
          <w:szCs w:val="30"/>
        </w:rPr>
        <w:t>项目技术、服务及商务要求</w:t>
      </w:r>
      <w:bookmarkEnd w:id="0"/>
    </w:p>
    <w:p w:rsidR="00A01F43" w:rsidRPr="0047279E" w:rsidRDefault="00A01F43" w:rsidP="00A01F43">
      <w:pPr>
        <w:spacing w:line="360" w:lineRule="auto"/>
        <w:rPr>
          <w:rFonts w:asciiTheme="minorEastAsia" w:eastAsiaTheme="minorEastAsia" w:hAnsiTheme="minorEastAsia"/>
          <w:b/>
          <w:sz w:val="28"/>
          <w:szCs w:val="28"/>
        </w:rPr>
      </w:pPr>
      <w:bookmarkStart w:id="7" w:name="二、服务内容和服务要求"/>
      <w:bookmarkEnd w:id="1"/>
      <w:bookmarkEnd w:id="2"/>
      <w:bookmarkEnd w:id="3"/>
      <w:bookmarkEnd w:id="4"/>
      <w:bookmarkEnd w:id="5"/>
      <w:bookmarkEnd w:id="6"/>
      <w:bookmarkEnd w:id="7"/>
      <w:r w:rsidRPr="0047279E">
        <w:rPr>
          <w:rFonts w:asciiTheme="minorEastAsia" w:eastAsiaTheme="minorEastAsia" w:hAnsiTheme="minorEastAsia" w:hint="eastAsia"/>
          <w:b/>
          <w:sz w:val="28"/>
          <w:szCs w:val="28"/>
        </w:rPr>
        <w:t>一、供应商的资格要求</w:t>
      </w:r>
    </w:p>
    <w:p w:rsidR="00A01F43" w:rsidRPr="0047279E" w:rsidRDefault="00A01F43" w:rsidP="00A01F43">
      <w:pPr>
        <w:spacing w:line="360" w:lineRule="auto"/>
        <w:ind w:firstLineChars="200" w:firstLine="560"/>
        <w:rPr>
          <w:rFonts w:asciiTheme="minorEastAsia" w:eastAsiaTheme="minorEastAsia" w:hAnsiTheme="minorEastAsia"/>
          <w:sz w:val="28"/>
          <w:szCs w:val="28"/>
        </w:rPr>
      </w:pPr>
      <w:r w:rsidRPr="0047279E">
        <w:rPr>
          <w:rFonts w:asciiTheme="minorEastAsia" w:eastAsiaTheme="minorEastAsia" w:hAnsiTheme="minorEastAsia" w:hint="eastAsia"/>
          <w:sz w:val="28"/>
          <w:szCs w:val="28"/>
        </w:rPr>
        <w:t>1.满足《中华人民共和国政府采购法》第二十二条第一款规定。</w:t>
      </w:r>
    </w:p>
    <w:p w:rsidR="00A01F43" w:rsidRPr="0047279E" w:rsidRDefault="00A01F43" w:rsidP="00A01F43">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2.</w:t>
      </w:r>
      <w:r w:rsidRPr="0047279E">
        <w:rPr>
          <w:rFonts w:asciiTheme="minorEastAsia" w:eastAsiaTheme="minorEastAsia" w:hAnsiTheme="minorEastAsia" w:cs="宋体"/>
          <w:sz w:val="28"/>
          <w:szCs w:val="28"/>
        </w:rPr>
        <w:t>单位负责人为同一人或者存在直接控股、管理关系的不同</w:t>
      </w:r>
      <w:r w:rsidRPr="0047279E">
        <w:rPr>
          <w:rFonts w:asciiTheme="minorEastAsia" w:eastAsiaTheme="minorEastAsia" w:hAnsiTheme="minorEastAsia" w:cs="宋体" w:hint="eastAsia"/>
          <w:sz w:val="28"/>
          <w:szCs w:val="28"/>
        </w:rPr>
        <w:t>供应商</w:t>
      </w:r>
      <w:r w:rsidRPr="0047279E">
        <w:rPr>
          <w:rFonts w:asciiTheme="minorEastAsia" w:eastAsiaTheme="minorEastAsia" w:hAnsiTheme="minorEastAsia" w:cs="宋体"/>
          <w:sz w:val="28"/>
          <w:szCs w:val="28"/>
        </w:rPr>
        <w:t>，不得参加本项目同一合同项下的政府采购活动。</w:t>
      </w:r>
    </w:p>
    <w:p w:rsidR="00A01F43" w:rsidRPr="0047279E" w:rsidRDefault="00A01F43" w:rsidP="00A01F43">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3.</w:t>
      </w:r>
      <w:r w:rsidRPr="0047279E">
        <w:rPr>
          <w:rFonts w:asciiTheme="minorEastAsia" w:eastAsiaTheme="minorEastAsia" w:hAnsiTheme="minorEastAsia" w:cs="宋体"/>
          <w:sz w:val="28"/>
          <w:szCs w:val="28"/>
        </w:rPr>
        <w:t>为本采购项目提供整体设计、规范编制或者项目管理、监理、检测等服务的，不得再参加本项目的其他招标采购活动。</w:t>
      </w:r>
    </w:p>
    <w:p w:rsidR="00A01F43" w:rsidRPr="0047279E" w:rsidRDefault="00A01F43" w:rsidP="00A01F43">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4.</w:t>
      </w:r>
      <w:r w:rsidRPr="0047279E">
        <w:rPr>
          <w:rFonts w:asciiTheme="minorEastAsia" w:eastAsiaTheme="minorEastAsia" w:hAnsiTheme="minorEastAsia" w:cs="宋体"/>
          <w:sz w:val="28"/>
          <w:szCs w:val="28"/>
        </w:rPr>
        <w:t>未被列入失信被执行人、重大税收违法失信主体，未被列入政府采购严重违法失信行为记录名单。</w:t>
      </w:r>
    </w:p>
    <w:p w:rsidR="00A01F43" w:rsidRPr="0047279E" w:rsidRDefault="00A01F43" w:rsidP="00A01F43">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5.落实政府采购政策需满足的资格要求：</w:t>
      </w:r>
      <w:r w:rsidRPr="0047279E">
        <w:rPr>
          <w:rFonts w:asciiTheme="minorEastAsia" w:eastAsiaTheme="minorEastAsia" w:hAnsiTheme="minorEastAsia" w:hint="eastAsia"/>
          <w:sz w:val="28"/>
          <w:szCs w:val="28"/>
        </w:rPr>
        <w:t>本项目专门面向中小微企业</w:t>
      </w:r>
    </w:p>
    <w:p w:rsidR="00A01F43" w:rsidRPr="00A01F43" w:rsidRDefault="00A01F43" w:rsidP="00A01F43">
      <w:pPr>
        <w:spacing w:line="360" w:lineRule="auto"/>
        <w:ind w:firstLineChars="200" w:firstLine="560"/>
        <w:rPr>
          <w:rFonts w:asciiTheme="minorEastAsia" w:eastAsiaTheme="minorEastAsia" w:hAnsiTheme="minorEastAsia" w:cs="宋体"/>
          <w:sz w:val="28"/>
          <w:szCs w:val="28"/>
        </w:rPr>
      </w:pPr>
      <w:r w:rsidRPr="0047279E">
        <w:rPr>
          <w:rFonts w:asciiTheme="minorEastAsia" w:eastAsiaTheme="minorEastAsia" w:hAnsiTheme="minorEastAsia" w:cs="宋体" w:hint="eastAsia"/>
          <w:sz w:val="28"/>
          <w:szCs w:val="28"/>
        </w:rPr>
        <w:t>6.本项目的特定资格要求：</w:t>
      </w:r>
      <w:r w:rsidRPr="00A01F43">
        <w:rPr>
          <w:rFonts w:asciiTheme="minorEastAsia" w:eastAsiaTheme="minorEastAsia" w:hAnsiTheme="minorEastAsia" w:cs="宋体" w:hint="eastAsia"/>
          <w:sz w:val="28"/>
          <w:szCs w:val="28"/>
        </w:rPr>
        <w:t>供应商应具备行政主管部门颁发的代理记账许可证书或会计师事务所执业证书。</w:t>
      </w:r>
    </w:p>
    <w:p w:rsidR="00A01F43" w:rsidRPr="00A01F43" w:rsidRDefault="00A01F43" w:rsidP="00A01F43">
      <w:pPr>
        <w:pStyle w:val="7"/>
        <w:spacing w:line="360" w:lineRule="auto"/>
        <w:ind w:left="0"/>
        <w:rPr>
          <w:rFonts w:ascii="宋体" w:hAnsi="宋体"/>
          <w:b/>
          <w:color w:val="0C0C0C"/>
          <w:sz w:val="28"/>
          <w:szCs w:val="28"/>
        </w:rPr>
      </w:pPr>
      <w:r w:rsidRPr="0047279E">
        <w:rPr>
          <w:rFonts w:ascii="宋体" w:hAnsi="宋体" w:hint="eastAsia"/>
          <w:b/>
          <w:color w:val="0C0C0C"/>
          <w:sz w:val="28"/>
          <w:szCs w:val="28"/>
        </w:rPr>
        <w:t>二、技术、商务要求</w:t>
      </w:r>
    </w:p>
    <w:p w:rsidR="00A01F43" w:rsidRDefault="00A01F43" w:rsidP="00A01F43">
      <w:pPr>
        <w:pStyle w:val="7"/>
        <w:spacing w:line="360" w:lineRule="auto"/>
        <w:ind w:left="0" w:firstLineChars="200" w:firstLine="560"/>
      </w:pPr>
      <w:r>
        <w:rPr>
          <w:rFonts w:ascii="宋体" w:hAnsi="宋体" w:hint="eastAsia"/>
          <w:color w:val="0C0C0C"/>
          <w:sz w:val="28"/>
          <w:szCs w:val="28"/>
        </w:rPr>
        <w:t>征集文件中“★”标注的技术、服务及商务要求，应满足或优于，否则其投标按照无效投标处理。</w:t>
      </w:r>
    </w:p>
    <w:p w:rsidR="00A01F43" w:rsidRDefault="00A01F43" w:rsidP="00A01F43">
      <w:pPr>
        <w:pStyle w:val="2"/>
        <w:spacing w:before="0" w:after="0" w:line="360" w:lineRule="auto"/>
        <w:ind w:left="420"/>
        <w:jc w:val="left"/>
        <w:rPr>
          <w:rFonts w:ascii="仿宋_GB2312" w:eastAsia="仿宋_GB2312" w:hAnsi="宋体"/>
        </w:rPr>
      </w:pPr>
      <w:r>
        <w:rPr>
          <w:rFonts w:ascii="仿宋" w:eastAsia="仿宋" w:hAnsi="仿宋" w:hint="eastAsia"/>
          <w:bCs w:val="0"/>
        </w:rPr>
        <w:t>（一）服务</w:t>
      </w:r>
      <w:r>
        <w:rPr>
          <w:rFonts w:ascii="仿宋" w:eastAsia="仿宋" w:hAnsi="仿宋" w:hint="eastAsia"/>
          <w:bCs w:val="0"/>
          <w:lang w:val="zh-CN"/>
        </w:rPr>
        <w:t>内容</w:t>
      </w:r>
      <w:bookmarkStart w:id="8" w:name="_Toc20591"/>
      <w:bookmarkStart w:id="9" w:name="_Toc16212"/>
      <w:bookmarkStart w:id="10" w:name="_Toc18213"/>
      <w:bookmarkStart w:id="11" w:name="_Toc16979"/>
      <w:bookmarkStart w:id="12" w:name="_Toc48134916"/>
      <w:bookmarkStart w:id="13" w:name="_Toc692"/>
    </w:p>
    <w:p w:rsidR="00A01F43" w:rsidRDefault="00A01F43" w:rsidP="00A01F43">
      <w:pPr>
        <w:widowControl w:val="0"/>
        <w:adjustRightInd/>
        <w:snapToGrid/>
        <w:spacing w:line="360" w:lineRule="auto"/>
        <w:ind w:firstLineChars="200" w:firstLine="560"/>
        <w:rPr>
          <w:rFonts w:ascii="宋体" w:eastAsia="宋体" w:hAnsi="宋体" w:cs="Times New Roman"/>
          <w:color w:val="0C0C0C"/>
          <w:kern w:val="2"/>
          <w:sz w:val="28"/>
          <w:szCs w:val="28"/>
        </w:rPr>
      </w:pPr>
      <w:r>
        <w:rPr>
          <w:rFonts w:ascii="宋体" w:eastAsia="宋体" w:hAnsi="宋体" w:cs="Times New Roman" w:hint="eastAsia"/>
          <w:color w:val="0C0C0C"/>
          <w:kern w:val="2"/>
          <w:sz w:val="28"/>
          <w:szCs w:val="28"/>
        </w:rPr>
        <w:t>C23020000会计服务</w:t>
      </w:r>
    </w:p>
    <w:p w:rsidR="00A01F43" w:rsidRDefault="00A01F43" w:rsidP="00A01F43">
      <w:pPr>
        <w:pStyle w:val="a5"/>
        <w:spacing w:line="360" w:lineRule="auto"/>
        <w:ind w:firstLineChars="200" w:firstLine="560"/>
      </w:pPr>
      <w:r>
        <w:rPr>
          <w:rFonts w:hint="eastAsia"/>
          <w:sz w:val="28"/>
          <w:szCs w:val="28"/>
        </w:rPr>
        <w:t>行业划型：按照《关于印发中小企业划型标准规定的通知》</w:t>
      </w:r>
      <w:r>
        <w:rPr>
          <w:rFonts w:hint="eastAsia"/>
          <w:sz w:val="28"/>
          <w:szCs w:val="28"/>
        </w:rPr>
        <w:lastRenderedPageBreak/>
        <w:t>（工信部联企业〔</w:t>
      </w:r>
      <w:r>
        <w:rPr>
          <w:rFonts w:hint="eastAsia"/>
          <w:sz w:val="28"/>
          <w:szCs w:val="28"/>
        </w:rPr>
        <w:t>2011</w:t>
      </w:r>
      <w:r>
        <w:rPr>
          <w:rFonts w:hint="eastAsia"/>
          <w:sz w:val="28"/>
          <w:szCs w:val="28"/>
        </w:rPr>
        <w:t>〕</w:t>
      </w:r>
      <w:r>
        <w:rPr>
          <w:rFonts w:hint="eastAsia"/>
          <w:sz w:val="28"/>
          <w:szCs w:val="28"/>
        </w:rPr>
        <w:t>300</w:t>
      </w:r>
      <w:r>
        <w:rPr>
          <w:rFonts w:hint="eastAsia"/>
          <w:sz w:val="28"/>
          <w:szCs w:val="28"/>
        </w:rPr>
        <w:t>号）的标准，本项目标的属于“租赁和商务服务业”行业。</w:t>
      </w:r>
    </w:p>
    <w:p w:rsidR="00A01F43" w:rsidRPr="00A01F43" w:rsidRDefault="00A01F43" w:rsidP="00A01F43">
      <w:pPr>
        <w:pStyle w:val="20"/>
        <w:numPr>
          <w:ilvl w:val="0"/>
          <w:numId w:val="3"/>
        </w:numPr>
        <w:spacing w:after="0" w:line="360" w:lineRule="auto"/>
        <w:ind w:leftChars="0" w:firstLine="560"/>
        <w:jc w:val="left"/>
        <w:rPr>
          <w:rFonts w:ascii="宋体" w:hAnsi="宋体" w:cs="宋体"/>
          <w:szCs w:val="28"/>
        </w:rPr>
      </w:pPr>
      <w:bookmarkStart w:id="14" w:name="_Toc1507691588"/>
      <w:bookmarkStart w:id="15" w:name="_Toc123891922"/>
      <w:r w:rsidRPr="00A01F43">
        <w:rPr>
          <w:rFonts w:ascii="宋体" w:hAnsi="宋体" w:cs="宋体" w:hint="eastAsia"/>
          <w:szCs w:val="28"/>
        </w:rPr>
        <w:t>财务报表编制服务（</w:t>
      </w:r>
      <w:r w:rsidRPr="00A01F43">
        <w:rPr>
          <w:rFonts w:ascii="宋体" w:hAnsi="宋体" w:cs="宋体"/>
          <w:szCs w:val="28"/>
        </w:rPr>
        <w:t>总账汇总登记服务</w:t>
      </w:r>
      <w:r w:rsidRPr="00A01F43">
        <w:rPr>
          <w:rFonts w:ascii="宋体" w:hAnsi="宋体" w:cs="宋体" w:hint="eastAsia"/>
          <w:szCs w:val="28"/>
        </w:rPr>
        <w:t>、</w:t>
      </w:r>
      <w:r w:rsidRPr="00A01F43">
        <w:rPr>
          <w:rFonts w:ascii="宋体" w:hAnsi="宋体" w:cs="宋体"/>
          <w:szCs w:val="28"/>
        </w:rPr>
        <w:t>填制会计报表服务</w:t>
      </w:r>
      <w:r w:rsidRPr="00A01F43">
        <w:rPr>
          <w:rFonts w:ascii="宋体" w:hAnsi="宋体" w:cs="宋体" w:hint="eastAsia"/>
          <w:szCs w:val="28"/>
        </w:rPr>
        <w:t>、</w:t>
      </w:r>
      <w:r w:rsidRPr="00A01F43">
        <w:rPr>
          <w:rFonts w:ascii="宋体" w:hAnsi="宋体" w:cs="宋体"/>
          <w:szCs w:val="28"/>
        </w:rPr>
        <w:t>其他财务报表编制服务</w:t>
      </w:r>
      <w:r w:rsidRPr="00A01F43">
        <w:rPr>
          <w:rFonts w:ascii="宋体" w:hAnsi="宋体" w:cs="宋体" w:hint="eastAsia"/>
          <w:szCs w:val="28"/>
        </w:rPr>
        <w:t>）。</w:t>
      </w:r>
      <w:bookmarkEnd w:id="14"/>
    </w:p>
    <w:p w:rsidR="00A01F43" w:rsidRPr="00A01F43" w:rsidRDefault="00A01F43" w:rsidP="00A01F43">
      <w:pPr>
        <w:pStyle w:val="20"/>
        <w:numPr>
          <w:ilvl w:val="0"/>
          <w:numId w:val="3"/>
        </w:numPr>
        <w:spacing w:after="0" w:line="360" w:lineRule="auto"/>
        <w:ind w:leftChars="0" w:firstLine="560"/>
        <w:jc w:val="left"/>
        <w:rPr>
          <w:rFonts w:ascii="宋体" w:hAnsi="宋体" w:cs="宋体"/>
          <w:szCs w:val="28"/>
        </w:rPr>
      </w:pPr>
      <w:bookmarkStart w:id="16" w:name="_Toc1022926561"/>
      <w:r w:rsidRPr="00A01F43">
        <w:rPr>
          <w:rFonts w:ascii="宋体" w:hAnsi="宋体" w:cs="宋体" w:hint="eastAsia"/>
          <w:szCs w:val="28"/>
        </w:rPr>
        <w:t>记账服务（指在账本上按照款额或某种计量单位分类和记录业务交易的薄记服务）。</w:t>
      </w:r>
      <w:bookmarkEnd w:id="16"/>
    </w:p>
    <w:p w:rsidR="00A01F43" w:rsidRPr="00A01F43" w:rsidRDefault="00A01F43" w:rsidP="00A01F43">
      <w:pPr>
        <w:pStyle w:val="20"/>
        <w:numPr>
          <w:ilvl w:val="0"/>
          <w:numId w:val="3"/>
        </w:numPr>
        <w:spacing w:after="0" w:line="360" w:lineRule="auto"/>
        <w:ind w:leftChars="0" w:firstLine="560"/>
        <w:jc w:val="left"/>
        <w:rPr>
          <w:rFonts w:ascii="宋体" w:hAnsi="宋体" w:cs="宋体"/>
          <w:szCs w:val="28"/>
        </w:rPr>
      </w:pPr>
      <w:bookmarkStart w:id="17" w:name="_Toc1861860053"/>
      <w:r w:rsidRPr="00A01F43">
        <w:rPr>
          <w:rFonts w:ascii="宋体" w:hAnsi="宋体" w:cs="宋体" w:hint="eastAsia"/>
          <w:szCs w:val="28"/>
        </w:rPr>
        <w:t>其他会计服务。</w:t>
      </w:r>
      <w:bookmarkEnd w:id="17"/>
    </w:p>
    <w:p w:rsidR="00A01F43" w:rsidRDefault="00A01F43" w:rsidP="00A01F43">
      <w:pPr>
        <w:pStyle w:val="2"/>
        <w:numPr>
          <w:ilvl w:val="0"/>
          <w:numId w:val="6"/>
        </w:numPr>
        <w:spacing w:before="0" w:after="0" w:line="360" w:lineRule="auto"/>
        <w:jc w:val="left"/>
        <w:rPr>
          <w:rFonts w:ascii="仿宋" w:eastAsia="仿宋" w:hAnsi="仿宋"/>
          <w:bCs w:val="0"/>
        </w:rPr>
      </w:pPr>
      <w:bookmarkStart w:id="18" w:name="_Toc16425"/>
      <w:bookmarkStart w:id="19" w:name="_Toc26188"/>
      <w:bookmarkEnd w:id="15"/>
      <w:r>
        <w:rPr>
          <w:rFonts w:ascii="仿宋" w:eastAsia="仿宋" w:hAnsi="仿宋" w:hint="eastAsia"/>
          <w:bCs w:val="0"/>
          <w:lang w:val="zh-CN"/>
        </w:rPr>
        <w:t>技术、服务要求</w:t>
      </w:r>
      <w:bookmarkEnd w:id="18"/>
      <w:bookmarkEnd w:id="19"/>
    </w:p>
    <w:p w:rsidR="00A01F43" w:rsidRDefault="00A01F43" w:rsidP="00A01F43">
      <w:pPr>
        <w:pStyle w:val="20"/>
        <w:spacing w:after="0" w:line="360" w:lineRule="auto"/>
        <w:ind w:leftChars="0" w:left="0" w:firstLineChars="0" w:firstLine="0"/>
        <w:jc w:val="left"/>
        <w:rPr>
          <w:rFonts w:ascii="宋体" w:hAnsi="宋体" w:cs="宋体"/>
          <w:szCs w:val="28"/>
        </w:rPr>
      </w:pPr>
      <w:r>
        <w:rPr>
          <w:rFonts w:ascii="宋体" w:hAnsi="宋体" w:cs="宋体" w:hint="eastAsia"/>
          <w:szCs w:val="28"/>
        </w:rPr>
        <w:t>1.服务标准：供应商按照国家财经法规及采购人的要求完成会计服务，保证资产年报编制、财务分析报告编制、内控填报、对接财务检查、财务培训等工作有序进行。</w:t>
      </w:r>
    </w:p>
    <w:p w:rsidR="00A01F43" w:rsidRDefault="00A01F43" w:rsidP="00A01F43">
      <w:pPr>
        <w:pStyle w:val="20"/>
        <w:spacing w:after="0" w:line="360" w:lineRule="auto"/>
        <w:ind w:leftChars="0" w:left="0" w:firstLineChars="0" w:firstLine="0"/>
        <w:jc w:val="left"/>
        <w:rPr>
          <w:rFonts w:ascii="宋体" w:hAnsi="宋体" w:cs="宋体"/>
          <w:szCs w:val="28"/>
        </w:rPr>
      </w:pPr>
      <w:r>
        <w:rPr>
          <w:rFonts w:ascii="汉仪叶叶相思体简" w:eastAsiaTheme="minorEastAsia" w:hAnsi="汉仪叶叶相思体简" w:cs="汉仪叶叶相思体简" w:hint="eastAsia"/>
          <w:szCs w:val="28"/>
        </w:rPr>
        <w:t>2.</w:t>
      </w:r>
      <w:r>
        <w:rPr>
          <w:rFonts w:ascii="汉仪叶叶相思体简" w:eastAsia="汉仪叶叶相思体简" w:hAnsi="汉仪叶叶相思体简" w:cs="汉仪叶叶相思体简" w:hint="eastAsia"/>
          <w:szCs w:val="28"/>
        </w:rPr>
        <w:t>★</w:t>
      </w:r>
      <w:r>
        <w:rPr>
          <w:rFonts w:ascii="宋体" w:hAnsi="宋体" w:cs="宋体" w:hint="eastAsia"/>
          <w:szCs w:val="28"/>
        </w:rPr>
        <w:t>应当遵守法律、法规和注册会计师等执业相关准则；应当遵守相关的职业道德规范，应当勤勉尽责，保持专业胜任能力和应有的关注，并对执业过程中获知的信息保密。（提供项目保密管理制度）</w:t>
      </w:r>
    </w:p>
    <w:p w:rsidR="00A01F43" w:rsidRDefault="00A01F43" w:rsidP="00A01F43">
      <w:pPr>
        <w:pStyle w:val="20"/>
        <w:spacing w:after="0" w:line="360" w:lineRule="auto"/>
        <w:ind w:leftChars="0" w:left="0" w:firstLineChars="0" w:firstLine="0"/>
        <w:jc w:val="left"/>
        <w:rPr>
          <w:rFonts w:ascii="宋体" w:hAnsi="宋体" w:cs="宋体"/>
          <w:szCs w:val="28"/>
        </w:rPr>
      </w:pPr>
      <w:r>
        <w:rPr>
          <w:rFonts w:ascii="宋体" w:hAnsi="宋体" w:cs="宋体" w:hint="eastAsia"/>
          <w:szCs w:val="28"/>
        </w:rPr>
        <w:t>3.因供应商完成的会计服务事项结论不正确、不准确及内容不真实、不完整等原因，造成采购人损失的，由供应商承担违约和赔偿责任。</w:t>
      </w:r>
    </w:p>
    <w:p w:rsidR="00A01F43" w:rsidRDefault="00A01F43" w:rsidP="00A01F43">
      <w:pPr>
        <w:pStyle w:val="20"/>
        <w:spacing w:after="0" w:line="360" w:lineRule="auto"/>
        <w:ind w:leftChars="0" w:left="0" w:firstLineChars="0" w:firstLine="0"/>
        <w:jc w:val="left"/>
        <w:rPr>
          <w:rFonts w:ascii="宋体" w:hAnsi="宋体" w:cs="宋体"/>
          <w:szCs w:val="28"/>
        </w:rPr>
      </w:pPr>
      <w:r>
        <w:rPr>
          <w:rFonts w:ascii="汉仪叶叶相思体简" w:eastAsiaTheme="minorEastAsia" w:hAnsi="汉仪叶叶相思体简" w:cs="汉仪叶叶相思体简" w:hint="eastAsia"/>
          <w:szCs w:val="28"/>
        </w:rPr>
        <w:t>4.</w:t>
      </w:r>
      <w:r>
        <w:rPr>
          <w:rFonts w:ascii="汉仪叶叶相思体简" w:eastAsia="汉仪叶叶相思体简" w:hAnsi="汉仪叶叶相思体简" w:cs="汉仪叶叶相思体简" w:hint="eastAsia"/>
          <w:szCs w:val="28"/>
        </w:rPr>
        <w:t>★</w:t>
      </w:r>
      <w:r>
        <w:rPr>
          <w:rFonts w:ascii="宋体" w:hAnsi="宋体" w:cs="宋体" w:hint="eastAsia"/>
          <w:szCs w:val="28"/>
        </w:rPr>
        <w:t>服务人员组成和服务要求</w:t>
      </w:r>
    </w:p>
    <w:p w:rsidR="00A01F43" w:rsidRDefault="00A01F43" w:rsidP="00A01F43">
      <w:pPr>
        <w:widowControl w:val="0"/>
        <w:adjustRightInd/>
        <w:snapToGrid/>
        <w:spacing w:after="0" w:line="360" w:lineRule="auto"/>
        <w:ind w:firstLineChars="100" w:firstLine="280"/>
        <w:jc w:val="both"/>
        <w:rPr>
          <w:rFonts w:ascii="宋体" w:eastAsia="宋体" w:hAnsi="宋体" w:cs="宋体"/>
          <w:color w:val="0C0C0C"/>
          <w:sz w:val="28"/>
          <w:szCs w:val="28"/>
        </w:rPr>
      </w:pPr>
      <w:r>
        <w:rPr>
          <w:rFonts w:ascii="宋体" w:eastAsia="宋体" w:hAnsi="宋体" w:hint="eastAsia"/>
          <w:color w:val="0C0C0C"/>
          <w:sz w:val="28"/>
          <w:szCs w:val="28"/>
        </w:rPr>
        <w:t>1）应该根据不同的服务对象和项目内容按照实际项目采购人要求成立专门的服务团队。遵守采购人的打卡制度要求，在规定的时间节点内按照采购</w:t>
      </w:r>
      <w:r>
        <w:rPr>
          <w:rFonts w:ascii="宋体" w:eastAsia="宋体" w:hAnsi="宋体" w:cs="宋体" w:hint="eastAsia"/>
          <w:color w:val="0C0C0C"/>
          <w:sz w:val="28"/>
          <w:szCs w:val="28"/>
        </w:rPr>
        <w:t>人确定的流程有序组织开展具体工作。（提供项目服务方案）</w:t>
      </w:r>
    </w:p>
    <w:p w:rsidR="00A01F43" w:rsidRPr="00A01F43" w:rsidRDefault="00A01F43" w:rsidP="00A01F43">
      <w:pPr>
        <w:pStyle w:val="20"/>
        <w:spacing w:after="0" w:line="360" w:lineRule="auto"/>
        <w:ind w:leftChars="0" w:left="0" w:firstLineChars="100" w:firstLine="280"/>
        <w:jc w:val="left"/>
        <w:rPr>
          <w:rFonts w:ascii="宋体" w:hAnsi="宋体" w:cs="宋体"/>
          <w:szCs w:val="28"/>
        </w:rPr>
      </w:pPr>
      <w:r w:rsidRPr="00A01F43">
        <w:rPr>
          <w:rFonts w:ascii="宋体" w:hAnsi="宋体" w:cs="宋体" w:hint="eastAsia"/>
          <w:szCs w:val="28"/>
        </w:rPr>
        <w:t>2）所派人员要服从采购人会计工作安排。</w:t>
      </w:r>
    </w:p>
    <w:p w:rsidR="00A01F43" w:rsidRPr="00A01F43" w:rsidRDefault="00A01F43" w:rsidP="00A01F43">
      <w:pPr>
        <w:pStyle w:val="20"/>
        <w:spacing w:after="0" w:line="360" w:lineRule="auto"/>
        <w:ind w:leftChars="0" w:left="0" w:firstLineChars="100" w:firstLine="280"/>
        <w:jc w:val="left"/>
        <w:rPr>
          <w:rFonts w:ascii="宋体" w:hAnsi="宋体" w:cs="宋体"/>
          <w:szCs w:val="28"/>
        </w:rPr>
      </w:pPr>
      <w:r w:rsidRPr="00A01F43">
        <w:rPr>
          <w:rFonts w:ascii="宋体" w:hAnsi="宋体" w:cs="宋体" w:hint="eastAsia"/>
          <w:szCs w:val="28"/>
        </w:rPr>
        <w:t>3）项目负责人具有相关专业职称。</w:t>
      </w:r>
    </w:p>
    <w:p w:rsidR="00A01F43" w:rsidRPr="00A01F43" w:rsidRDefault="00A01F43" w:rsidP="00A01F43">
      <w:pPr>
        <w:pStyle w:val="20"/>
        <w:spacing w:after="0" w:line="360" w:lineRule="auto"/>
        <w:ind w:leftChars="0" w:left="0" w:firstLineChars="100" w:firstLine="280"/>
        <w:jc w:val="left"/>
        <w:rPr>
          <w:rFonts w:ascii="宋体" w:hAnsi="宋体" w:cs="宋体"/>
          <w:szCs w:val="28"/>
        </w:rPr>
      </w:pPr>
      <w:r w:rsidRPr="00A01F43">
        <w:rPr>
          <w:rFonts w:ascii="宋体" w:hAnsi="宋体" w:cs="宋体" w:hint="eastAsia"/>
          <w:szCs w:val="28"/>
        </w:rPr>
        <w:t>4）会计人员具有相关专业职称。</w:t>
      </w:r>
    </w:p>
    <w:p w:rsidR="00A01F43" w:rsidRPr="00A01F43" w:rsidRDefault="00A01F43" w:rsidP="00A01F43">
      <w:pPr>
        <w:pStyle w:val="20"/>
        <w:spacing w:after="0" w:line="360" w:lineRule="auto"/>
        <w:ind w:leftChars="0" w:left="0" w:firstLineChars="150"/>
        <w:jc w:val="left"/>
        <w:rPr>
          <w:rFonts w:ascii="宋体" w:hAnsi="宋体" w:cs="宋体"/>
          <w:szCs w:val="28"/>
        </w:rPr>
      </w:pPr>
      <w:r w:rsidRPr="00A01F43">
        <w:rPr>
          <w:rFonts w:ascii="宋体" w:hAnsi="宋体" w:cs="宋体" w:hint="eastAsia"/>
          <w:szCs w:val="28"/>
        </w:rPr>
        <w:t>提供拟投入的人员资格证书和劳动合同</w:t>
      </w:r>
    </w:p>
    <w:p w:rsidR="00A01F43" w:rsidRDefault="00A01F43" w:rsidP="00A01F43">
      <w:pPr>
        <w:widowControl w:val="0"/>
        <w:adjustRightInd/>
        <w:snapToGrid/>
        <w:spacing w:after="0" w:line="360" w:lineRule="auto"/>
        <w:ind w:firstLineChars="100" w:firstLine="280"/>
        <w:jc w:val="both"/>
        <w:rPr>
          <w:rFonts w:ascii="宋体" w:eastAsia="宋体" w:hAnsi="宋体" w:cs="宋体"/>
          <w:color w:val="0C0C0C"/>
          <w:sz w:val="28"/>
          <w:szCs w:val="28"/>
        </w:rPr>
      </w:pPr>
      <w:r>
        <w:rPr>
          <w:rFonts w:ascii="宋体" w:eastAsia="宋体" w:hAnsi="宋体" w:cs="宋体" w:hint="eastAsia"/>
          <w:color w:val="0C0C0C"/>
          <w:sz w:val="28"/>
          <w:szCs w:val="28"/>
        </w:rPr>
        <w:lastRenderedPageBreak/>
        <w:t>5）供应商</w:t>
      </w:r>
      <w:r>
        <w:rPr>
          <w:rFonts w:ascii="宋体" w:eastAsia="宋体" w:hAnsi="宋体" w:cs="宋体" w:hint="eastAsia"/>
          <w:color w:val="0C0C0C"/>
          <w:sz w:val="28"/>
          <w:szCs w:val="28"/>
          <w:lang w:val="zh-CN"/>
        </w:rPr>
        <w:t>在实施</w:t>
      </w:r>
      <w:r>
        <w:rPr>
          <w:rFonts w:ascii="宋体" w:eastAsia="宋体" w:hAnsi="宋体" w:cs="宋体" w:hint="eastAsia"/>
          <w:color w:val="0C0C0C"/>
          <w:sz w:val="28"/>
          <w:szCs w:val="28"/>
        </w:rPr>
        <w:t>会计服务</w:t>
      </w:r>
      <w:r>
        <w:rPr>
          <w:rFonts w:ascii="宋体" w:eastAsia="宋体" w:hAnsi="宋体" w:cs="宋体" w:hint="eastAsia"/>
          <w:color w:val="0C0C0C"/>
          <w:sz w:val="28"/>
          <w:szCs w:val="28"/>
          <w:lang w:val="zh-CN"/>
        </w:rPr>
        <w:t>过程中，</w:t>
      </w:r>
      <w:r>
        <w:rPr>
          <w:rFonts w:ascii="宋体" w:eastAsia="宋体" w:hAnsi="宋体" w:cs="宋体" w:hint="eastAsia"/>
          <w:color w:val="0C0C0C"/>
          <w:sz w:val="28"/>
          <w:szCs w:val="28"/>
        </w:rPr>
        <w:t>原则上不准更换服务团队人员，</w:t>
      </w:r>
      <w:r>
        <w:rPr>
          <w:rFonts w:ascii="宋体" w:eastAsia="宋体" w:hAnsi="宋体" w:cs="宋体" w:hint="eastAsia"/>
          <w:color w:val="0C0C0C"/>
          <w:sz w:val="28"/>
          <w:szCs w:val="28"/>
          <w:lang w:val="zh-CN"/>
        </w:rPr>
        <w:t>如需更换，需提前7天书面向</w:t>
      </w:r>
      <w:r>
        <w:rPr>
          <w:rFonts w:ascii="宋体" w:eastAsia="宋体" w:hAnsi="宋体" w:cs="宋体" w:hint="eastAsia"/>
          <w:color w:val="0C0C0C"/>
          <w:sz w:val="28"/>
          <w:szCs w:val="28"/>
        </w:rPr>
        <w:t>采购人</w:t>
      </w:r>
      <w:r>
        <w:rPr>
          <w:rFonts w:ascii="宋体" w:eastAsia="宋体" w:hAnsi="宋体" w:cs="宋体" w:hint="eastAsia"/>
          <w:color w:val="0C0C0C"/>
          <w:sz w:val="28"/>
          <w:szCs w:val="28"/>
          <w:lang w:val="zh-CN"/>
        </w:rPr>
        <w:t>提出申请，经同意后更换，否则视为违约，</w:t>
      </w:r>
      <w:r>
        <w:rPr>
          <w:rFonts w:ascii="宋体" w:eastAsia="宋体" w:hAnsi="宋体" w:cs="宋体" w:hint="eastAsia"/>
          <w:color w:val="0C0C0C"/>
          <w:sz w:val="28"/>
          <w:szCs w:val="28"/>
        </w:rPr>
        <w:t>按照合同约定的相关违约责任进行处理。（提供承诺函）</w:t>
      </w:r>
    </w:p>
    <w:p w:rsidR="00A01F43" w:rsidRDefault="00A01F43" w:rsidP="00A01F43">
      <w:pPr>
        <w:pStyle w:val="20"/>
        <w:spacing w:after="0" w:line="360" w:lineRule="auto"/>
        <w:ind w:leftChars="0" w:left="0" w:firstLineChars="0" w:firstLine="0"/>
        <w:jc w:val="left"/>
        <w:rPr>
          <w:rFonts w:ascii="宋体" w:hAnsi="宋体" w:cs="宋体"/>
          <w:szCs w:val="28"/>
        </w:rPr>
      </w:pPr>
      <w:r>
        <w:rPr>
          <w:rFonts w:ascii="汉仪叶叶相思体简" w:eastAsiaTheme="minorEastAsia" w:hAnsi="汉仪叶叶相思体简" w:cs="汉仪叶叶相思体简" w:hint="eastAsia"/>
          <w:szCs w:val="28"/>
        </w:rPr>
        <w:t>5.</w:t>
      </w:r>
      <w:r>
        <w:rPr>
          <w:rFonts w:ascii="汉仪叶叶相思体简" w:eastAsia="汉仪叶叶相思体简" w:hAnsi="汉仪叶叶相思体简" w:cs="汉仪叶叶相思体简" w:hint="eastAsia"/>
          <w:szCs w:val="28"/>
        </w:rPr>
        <w:t>★</w:t>
      </w:r>
      <w:r>
        <w:rPr>
          <w:rFonts w:ascii="宋体" w:hAnsi="宋体" w:cs="宋体" w:hint="eastAsia"/>
          <w:szCs w:val="28"/>
        </w:rPr>
        <w:t>如采购人有突发事件，供应商在接到采购人的应急通知后需立即委派人员配合采购人的完成各项工作。（提供项目应急服务方案）</w:t>
      </w:r>
    </w:p>
    <w:p w:rsidR="00A01F43" w:rsidRDefault="00A01F43" w:rsidP="00A01F43">
      <w:pPr>
        <w:pStyle w:val="20"/>
        <w:spacing w:after="0" w:line="360" w:lineRule="auto"/>
        <w:ind w:leftChars="0" w:left="0" w:firstLineChars="0" w:firstLine="0"/>
        <w:jc w:val="left"/>
        <w:rPr>
          <w:rFonts w:ascii="宋体" w:hAnsi="宋体" w:cs="宋体"/>
          <w:szCs w:val="28"/>
        </w:rPr>
      </w:pPr>
      <w:r>
        <w:rPr>
          <w:rFonts w:ascii="宋体" w:hAnsi="宋体" w:cs="宋体" w:hint="eastAsia"/>
          <w:szCs w:val="28"/>
        </w:rPr>
        <w:t>6.服务的地域范围</w:t>
      </w:r>
    </w:p>
    <w:p w:rsidR="00A01F43" w:rsidRDefault="00A01F43" w:rsidP="00A01F43">
      <w:pPr>
        <w:widowControl w:val="0"/>
        <w:adjustRightInd/>
        <w:snapToGrid/>
        <w:spacing w:line="360" w:lineRule="auto"/>
        <w:ind w:firstLineChars="200" w:firstLine="560"/>
        <w:rPr>
          <w:rFonts w:ascii="宋体" w:eastAsia="宋体" w:hAnsi="宋体" w:cs="宋体"/>
          <w:color w:val="0C0C0C"/>
          <w:sz w:val="28"/>
          <w:szCs w:val="28"/>
        </w:rPr>
      </w:pPr>
      <w:r>
        <w:rPr>
          <w:rFonts w:ascii="宋体" w:eastAsia="宋体" w:hAnsi="宋体" w:cs="宋体" w:hint="eastAsia"/>
          <w:color w:val="0C0C0C"/>
          <w:sz w:val="28"/>
          <w:szCs w:val="28"/>
        </w:rPr>
        <w:t>成果交付：由双方约定，以采购人要求为准。</w:t>
      </w:r>
    </w:p>
    <w:p w:rsidR="00A01F43" w:rsidRDefault="008B254E" w:rsidP="008B254E">
      <w:pPr>
        <w:pStyle w:val="20"/>
        <w:spacing w:after="0" w:line="360" w:lineRule="auto"/>
        <w:ind w:leftChars="0" w:left="0" w:firstLineChars="0" w:firstLine="0"/>
        <w:jc w:val="left"/>
        <w:rPr>
          <w:rFonts w:ascii="宋体" w:hAnsi="宋体" w:cs="宋体"/>
          <w:szCs w:val="28"/>
        </w:rPr>
      </w:pPr>
      <w:r>
        <w:rPr>
          <w:rFonts w:ascii="宋体" w:hAnsi="宋体" w:cs="宋体" w:hint="eastAsia"/>
          <w:szCs w:val="28"/>
        </w:rPr>
        <w:t>7.</w:t>
      </w:r>
      <w:r w:rsidR="00A01F43">
        <w:rPr>
          <w:rFonts w:ascii="宋体" w:hAnsi="宋体" w:cs="宋体" w:hint="eastAsia"/>
          <w:szCs w:val="28"/>
        </w:rPr>
        <w:t>服务计量方式</w:t>
      </w:r>
    </w:p>
    <w:p w:rsidR="00A01F43" w:rsidRDefault="00A01F43" w:rsidP="00A01F43">
      <w:pPr>
        <w:widowControl w:val="0"/>
        <w:adjustRightInd/>
        <w:snapToGrid/>
        <w:spacing w:line="360" w:lineRule="auto"/>
        <w:ind w:firstLineChars="200" w:firstLine="560"/>
        <w:rPr>
          <w:szCs w:val="28"/>
        </w:rPr>
      </w:pPr>
      <w:r>
        <w:rPr>
          <w:rFonts w:ascii="宋体" w:eastAsia="宋体" w:hAnsi="宋体" w:hint="eastAsia"/>
          <w:color w:val="0C0C0C"/>
          <w:sz w:val="28"/>
          <w:szCs w:val="28"/>
        </w:rPr>
        <w:t>计时计算服务数量，具体服务计量方式根据项目实际情况，由采购人和供应商协商确定。</w:t>
      </w:r>
    </w:p>
    <w:p w:rsidR="00A01F43" w:rsidRDefault="008B254E" w:rsidP="008B254E">
      <w:pPr>
        <w:pStyle w:val="2"/>
        <w:spacing w:before="0" w:after="0" w:line="360" w:lineRule="auto"/>
        <w:ind w:left="420"/>
        <w:jc w:val="left"/>
        <w:rPr>
          <w:rFonts w:ascii="仿宋" w:eastAsia="仿宋" w:hAnsi="仿宋"/>
          <w:bCs w:val="0"/>
          <w:lang w:val="zh-CN"/>
        </w:rPr>
      </w:pPr>
      <w:bookmarkStart w:id="20" w:name="_Toc123891925"/>
      <w:bookmarkEnd w:id="8"/>
      <w:bookmarkEnd w:id="9"/>
      <w:bookmarkEnd w:id="10"/>
      <w:bookmarkEnd w:id="11"/>
      <w:bookmarkEnd w:id="12"/>
      <w:bookmarkEnd w:id="13"/>
      <w:r>
        <w:rPr>
          <w:rFonts w:ascii="仿宋" w:eastAsia="仿宋" w:hAnsi="仿宋" w:hint="eastAsia"/>
          <w:bCs w:val="0"/>
          <w:lang w:val="zh-CN"/>
        </w:rPr>
        <w:t>（三）</w:t>
      </w:r>
      <w:r w:rsidR="00A01F43">
        <w:rPr>
          <w:rFonts w:ascii="仿宋" w:eastAsia="仿宋" w:hAnsi="仿宋" w:hint="eastAsia"/>
          <w:bCs w:val="0"/>
          <w:lang w:val="zh-CN"/>
        </w:rPr>
        <w:t>商务要求</w:t>
      </w:r>
      <w:bookmarkEnd w:id="20"/>
    </w:p>
    <w:p w:rsidR="00A01F43" w:rsidRDefault="00A01F43" w:rsidP="00A01F43">
      <w:pPr>
        <w:widowControl w:val="0"/>
        <w:numPr>
          <w:ilvl w:val="0"/>
          <w:numId w:val="5"/>
        </w:numPr>
        <w:adjustRightInd/>
        <w:snapToGrid/>
        <w:spacing w:after="0" w:line="360" w:lineRule="auto"/>
        <w:ind w:firstLineChars="200" w:firstLine="560"/>
        <w:jc w:val="both"/>
        <w:rPr>
          <w:rFonts w:ascii="宋体" w:eastAsia="宋体" w:hAnsi="宋体" w:cs="黑体"/>
          <w:color w:val="0C0C0C"/>
          <w:sz w:val="28"/>
          <w:szCs w:val="28"/>
        </w:rPr>
      </w:pPr>
      <w:r>
        <w:rPr>
          <w:rFonts w:ascii="宋体" w:eastAsia="宋体" w:hAnsi="宋体" w:cs="黑体" w:hint="eastAsia"/>
          <w:color w:val="0C0C0C"/>
          <w:sz w:val="28"/>
          <w:szCs w:val="28"/>
        </w:rPr>
        <w:t>合同履行期限：自封闭式框架协议签订之日起至2025年12月31日。</w:t>
      </w:r>
    </w:p>
    <w:p w:rsidR="00A01F43" w:rsidRDefault="00A01F43" w:rsidP="00A01F43">
      <w:pPr>
        <w:widowControl w:val="0"/>
        <w:numPr>
          <w:ilvl w:val="0"/>
          <w:numId w:val="5"/>
        </w:numPr>
        <w:adjustRightInd/>
        <w:snapToGrid/>
        <w:spacing w:after="0" w:line="360" w:lineRule="auto"/>
        <w:ind w:firstLineChars="200" w:firstLine="560"/>
        <w:jc w:val="both"/>
        <w:rPr>
          <w:rFonts w:ascii="宋体" w:eastAsia="宋体" w:hAnsi="宋体" w:cs="黑体"/>
          <w:color w:val="0C0C0C"/>
          <w:sz w:val="28"/>
          <w:szCs w:val="28"/>
        </w:rPr>
      </w:pPr>
      <w:r>
        <w:rPr>
          <w:rFonts w:ascii="宋体" w:eastAsia="宋体" w:hAnsi="宋体" w:cs="黑体" w:hint="eastAsia"/>
          <w:color w:val="0C0C0C"/>
          <w:sz w:val="28"/>
          <w:szCs w:val="28"/>
        </w:rPr>
        <w:t>供应商入围后需入驻</w:t>
      </w:r>
      <w:r w:rsidR="008B254E">
        <w:rPr>
          <w:rFonts w:ascii="宋体" w:eastAsia="宋体" w:hAnsi="宋体" w:cs="黑体" w:hint="eastAsia"/>
          <w:color w:val="0C0C0C"/>
          <w:sz w:val="28"/>
          <w:szCs w:val="28"/>
        </w:rPr>
        <w:t>大冶</w:t>
      </w:r>
      <w:r>
        <w:rPr>
          <w:rFonts w:ascii="宋体" w:eastAsia="宋体" w:hAnsi="宋体" w:cs="黑体" w:hint="eastAsia"/>
          <w:color w:val="0C0C0C"/>
          <w:sz w:val="28"/>
          <w:szCs w:val="28"/>
        </w:rPr>
        <w:t>市政府采购电子商城。</w:t>
      </w:r>
    </w:p>
    <w:p w:rsidR="00A01F43" w:rsidRDefault="00A01F43" w:rsidP="00A01F43">
      <w:pPr>
        <w:widowControl w:val="0"/>
        <w:numPr>
          <w:ilvl w:val="0"/>
          <w:numId w:val="5"/>
        </w:numPr>
        <w:adjustRightInd/>
        <w:snapToGrid/>
        <w:spacing w:after="0" w:line="360" w:lineRule="auto"/>
        <w:ind w:firstLineChars="200" w:firstLine="560"/>
        <w:jc w:val="both"/>
        <w:rPr>
          <w:rFonts w:ascii="宋体" w:eastAsia="宋体" w:hAnsi="宋体"/>
          <w:color w:val="0C0C0C"/>
          <w:sz w:val="28"/>
          <w:szCs w:val="28"/>
        </w:rPr>
      </w:pPr>
      <w:r>
        <w:rPr>
          <w:rFonts w:ascii="宋体" w:eastAsia="宋体" w:hAnsi="宋体" w:hint="eastAsia"/>
          <w:color w:val="0C0C0C"/>
          <w:sz w:val="28"/>
          <w:szCs w:val="28"/>
        </w:rPr>
        <w:t>供应商应当提供保密和廉政承诺，并有具体的违约处罚措施。</w:t>
      </w:r>
    </w:p>
    <w:p w:rsidR="00A01F43" w:rsidRDefault="00A01F43" w:rsidP="00A01F43">
      <w:pPr>
        <w:widowControl w:val="0"/>
        <w:numPr>
          <w:ilvl w:val="0"/>
          <w:numId w:val="5"/>
        </w:numPr>
        <w:adjustRightInd/>
        <w:snapToGrid/>
        <w:spacing w:after="0" w:line="360" w:lineRule="auto"/>
        <w:ind w:firstLineChars="200" w:firstLine="560"/>
        <w:jc w:val="both"/>
        <w:rPr>
          <w:rFonts w:ascii="宋体" w:eastAsia="宋体" w:hAnsi="宋体" w:cs="黑体"/>
          <w:color w:val="0C0C0C"/>
          <w:sz w:val="28"/>
          <w:szCs w:val="28"/>
        </w:rPr>
      </w:pPr>
      <w:r>
        <w:rPr>
          <w:rFonts w:ascii="宋体" w:eastAsia="宋体" w:hAnsi="宋体" w:cs="黑体" w:hint="eastAsia"/>
          <w:color w:val="0C0C0C"/>
          <w:sz w:val="28"/>
          <w:szCs w:val="28"/>
        </w:rPr>
        <w:t>严格依据响应文件要求和征集文件的承诺，以不高于入围价格向市直各级单位提供服务。不实行任何形式的区域限制，不在框架协议内容之外，提出任何附加条款。全面履行投标承诺，圆满完成市直各级单位的相关定点服务工作，确保质量，提供快捷、方便、满意的服务。（提供承诺函）</w:t>
      </w:r>
    </w:p>
    <w:p w:rsidR="004358AB" w:rsidRDefault="008B254E" w:rsidP="008B254E">
      <w:pPr>
        <w:spacing w:line="220" w:lineRule="atLeast"/>
        <w:ind w:firstLineChars="200" w:firstLine="560"/>
        <w:rPr>
          <w:rFonts w:ascii="宋体" w:eastAsia="宋体" w:hAnsi="宋体" w:cs="黑体"/>
          <w:color w:val="0C0C0C"/>
          <w:sz w:val="28"/>
          <w:szCs w:val="28"/>
        </w:rPr>
      </w:pPr>
      <w:r>
        <w:rPr>
          <w:rFonts w:ascii="宋体" w:eastAsia="宋体" w:hAnsi="宋体" w:cs="黑体" w:hint="eastAsia"/>
          <w:color w:val="0C0C0C"/>
          <w:sz w:val="28"/>
          <w:szCs w:val="28"/>
        </w:rPr>
        <w:t>5.</w:t>
      </w:r>
      <w:r w:rsidR="00A01F43">
        <w:rPr>
          <w:rFonts w:ascii="宋体" w:eastAsia="宋体" w:hAnsi="宋体" w:cs="黑体" w:hint="eastAsia"/>
          <w:color w:val="0C0C0C"/>
          <w:sz w:val="28"/>
          <w:szCs w:val="28"/>
        </w:rPr>
        <w:t>本项目不接受分公司投标。各供应商不允许以分公司的名义进行投标。</w:t>
      </w:r>
    </w:p>
    <w:p w:rsidR="008B254E" w:rsidRDefault="008B254E" w:rsidP="008B254E">
      <w:pPr>
        <w:widowControl w:val="0"/>
        <w:adjustRightInd/>
        <w:snapToGrid/>
        <w:spacing w:after="0" w:line="360" w:lineRule="auto"/>
        <w:ind w:left="400" w:firstLineChars="50" w:firstLine="140"/>
        <w:jc w:val="both"/>
        <w:rPr>
          <w:rFonts w:ascii="宋体" w:eastAsia="宋体" w:hAnsi="宋体" w:cs="黑体"/>
          <w:sz w:val="28"/>
          <w:szCs w:val="24"/>
        </w:rPr>
      </w:pPr>
      <w:r>
        <w:rPr>
          <w:rFonts w:ascii="宋体" w:eastAsia="宋体" w:hAnsi="宋体" w:cs="黑体" w:hint="eastAsia"/>
          <w:sz w:val="28"/>
          <w:szCs w:val="24"/>
        </w:rPr>
        <w:t>6.报价要求：</w:t>
      </w:r>
    </w:p>
    <w:p w:rsidR="008B254E" w:rsidRDefault="008B254E" w:rsidP="008B254E">
      <w:pPr>
        <w:widowControl w:val="0"/>
        <w:adjustRightInd/>
        <w:snapToGrid/>
        <w:spacing w:after="0" w:line="360" w:lineRule="auto"/>
        <w:ind w:left="400"/>
        <w:jc w:val="both"/>
        <w:rPr>
          <w:rFonts w:ascii="宋体" w:eastAsia="宋体" w:hAnsi="宋体" w:cs="黑体"/>
          <w:sz w:val="28"/>
          <w:szCs w:val="24"/>
        </w:rPr>
      </w:pPr>
      <w:r>
        <w:rPr>
          <w:rFonts w:ascii="宋体" w:eastAsia="宋体" w:hAnsi="宋体" w:cs="黑体" w:hint="eastAsia"/>
          <w:sz w:val="28"/>
          <w:szCs w:val="24"/>
        </w:rPr>
        <w:t>1）供应商所提供的服务（货物）</w:t>
      </w:r>
      <w:r>
        <w:rPr>
          <w:rFonts w:ascii="宋体" w:eastAsia="宋体" w:hAnsi="宋体" w:cs="黑体" w:hint="eastAsia"/>
          <w:b/>
          <w:bCs/>
          <w:sz w:val="28"/>
          <w:szCs w:val="24"/>
        </w:rPr>
        <w:t>以折扣形式报价（单位：%）</w:t>
      </w:r>
      <w:r>
        <w:rPr>
          <w:rFonts w:ascii="宋体" w:eastAsia="宋体" w:hAnsi="宋体" w:cs="黑体" w:hint="eastAsia"/>
          <w:sz w:val="28"/>
          <w:szCs w:val="24"/>
        </w:rPr>
        <w:t>，</w:t>
      </w:r>
      <w:r>
        <w:rPr>
          <w:rFonts w:ascii="宋体" w:eastAsia="宋体" w:hAnsi="宋体" w:cs="黑体" w:hint="eastAsia"/>
          <w:sz w:val="28"/>
          <w:szCs w:val="24"/>
        </w:rPr>
        <w:lastRenderedPageBreak/>
        <w:t>精确到小数点后两位。（折扣形式报价仅支持正向折扣，例如：填写60</w:t>
      </w:r>
      <w:r w:rsidR="00EA24CD">
        <w:rPr>
          <w:rFonts w:ascii="宋体" w:eastAsia="宋体" w:hAnsi="宋体" w:cs="黑体" w:hint="eastAsia"/>
          <w:sz w:val="28"/>
          <w:szCs w:val="24"/>
        </w:rPr>
        <w:t>.</w:t>
      </w:r>
      <w:r>
        <w:rPr>
          <w:rFonts w:ascii="宋体" w:eastAsia="宋体" w:hAnsi="宋体" w:cs="黑体" w:hint="eastAsia"/>
          <w:sz w:val="28"/>
          <w:szCs w:val="24"/>
        </w:rPr>
        <w:t>00%时表示打6.00折，填写85.00%时表示打8.500折。）</w:t>
      </w:r>
    </w:p>
    <w:p w:rsidR="008B254E" w:rsidRPr="004D5686" w:rsidRDefault="008B254E" w:rsidP="008B254E">
      <w:pPr>
        <w:pStyle w:val="a7"/>
        <w:widowControl w:val="0"/>
        <w:numPr>
          <w:ilvl w:val="0"/>
          <w:numId w:val="11"/>
        </w:numPr>
        <w:adjustRightInd/>
        <w:snapToGrid/>
        <w:spacing w:after="0" w:line="360" w:lineRule="auto"/>
        <w:ind w:firstLineChars="0"/>
        <w:jc w:val="both"/>
        <w:rPr>
          <w:rFonts w:ascii="宋体" w:eastAsia="宋体" w:hAnsi="宋体" w:cs="黑体"/>
          <w:sz w:val="28"/>
          <w:szCs w:val="24"/>
        </w:rPr>
      </w:pPr>
      <w:r w:rsidRPr="004D5686">
        <w:rPr>
          <w:rFonts w:ascii="宋体" w:eastAsia="宋体" w:hAnsi="宋体" w:cs="黑体" w:hint="eastAsia"/>
          <w:sz w:val="28"/>
          <w:szCs w:val="24"/>
        </w:rPr>
        <w:t>只允许有一个折扣形式报价，不得采取区间报价。</w:t>
      </w:r>
    </w:p>
    <w:p w:rsidR="008B254E" w:rsidRPr="004D5686" w:rsidRDefault="008B254E" w:rsidP="008B254E">
      <w:pPr>
        <w:pStyle w:val="a7"/>
        <w:widowControl w:val="0"/>
        <w:numPr>
          <w:ilvl w:val="0"/>
          <w:numId w:val="11"/>
        </w:numPr>
        <w:adjustRightInd/>
        <w:snapToGrid/>
        <w:spacing w:after="0" w:line="360" w:lineRule="auto"/>
        <w:ind w:firstLineChars="0"/>
        <w:jc w:val="both"/>
        <w:rPr>
          <w:rFonts w:ascii="宋体" w:eastAsia="宋体" w:hAnsi="宋体" w:cs="黑体"/>
          <w:sz w:val="28"/>
          <w:szCs w:val="24"/>
        </w:rPr>
      </w:pPr>
      <w:r w:rsidRPr="004D5686">
        <w:rPr>
          <w:rFonts w:ascii="宋体" w:eastAsia="宋体" w:hAnsi="宋体" w:cs="黑体" w:hint="eastAsia"/>
          <w:sz w:val="28"/>
          <w:szCs w:val="24"/>
        </w:rPr>
        <w:t>报价不得超过 100％。</w:t>
      </w:r>
    </w:p>
    <w:p w:rsidR="008B254E" w:rsidRDefault="008B254E" w:rsidP="008B254E">
      <w:pPr>
        <w:widowControl w:val="0"/>
        <w:numPr>
          <w:ilvl w:val="0"/>
          <w:numId w:val="11"/>
        </w:numPr>
        <w:adjustRightInd/>
        <w:snapToGrid/>
        <w:spacing w:after="0" w:line="360" w:lineRule="auto"/>
        <w:jc w:val="both"/>
        <w:rPr>
          <w:rFonts w:ascii="宋体" w:eastAsia="宋体" w:hAnsi="宋体" w:cs="黑体"/>
          <w:sz w:val="28"/>
          <w:szCs w:val="24"/>
        </w:rPr>
      </w:pPr>
      <w:r>
        <w:rPr>
          <w:rFonts w:ascii="宋体" w:eastAsia="宋体" w:hAnsi="宋体" w:cs="黑体" w:hint="eastAsia"/>
          <w:sz w:val="28"/>
          <w:szCs w:val="24"/>
        </w:rPr>
        <w:t>供应商的报价在合同执行过程中是固定不变的，不得以任何理由予以变更。</w:t>
      </w:r>
    </w:p>
    <w:p w:rsidR="008B254E" w:rsidRDefault="008B254E" w:rsidP="008B254E">
      <w:pPr>
        <w:widowControl w:val="0"/>
        <w:numPr>
          <w:ilvl w:val="0"/>
          <w:numId w:val="11"/>
        </w:numPr>
        <w:adjustRightInd/>
        <w:snapToGrid/>
        <w:spacing w:after="0" w:line="360" w:lineRule="auto"/>
        <w:jc w:val="both"/>
        <w:rPr>
          <w:rFonts w:ascii="宋体" w:hAnsi="宋体"/>
          <w:sz w:val="28"/>
          <w:szCs w:val="24"/>
        </w:rPr>
      </w:pPr>
      <w:r>
        <w:rPr>
          <w:rFonts w:ascii="宋体" w:eastAsia="宋体" w:hAnsi="宋体" w:cs="黑体" w:hint="eastAsia"/>
          <w:sz w:val="28"/>
          <w:szCs w:val="24"/>
        </w:rPr>
        <w:t>本次征集活动中入围供应商的报价（即协议价格），是后续采购人或服务对象确定第二阶段具体项目成交供应商的最高限价。</w:t>
      </w:r>
    </w:p>
    <w:p w:rsidR="008B254E" w:rsidRPr="00B757D9" w:rsidRDefault="008B254E" w:rsidP="008B254E">
      <w:pPr>
        <w:spacing w:line="360" w:lineRule="auto"/>
        <w:ind w:left="400"/>
        <w:rPr>
          <w:rFonts w:ascii="宋体" w:eastAsia="宋体" w:hAnsi="宋体" w:cs="黑体"/>
          <w:sz w:val="28"/>
          <w:szCs w:val="24"/>
        </w:rPr>
      </w:pPr>
      <w:r>
        <w:rPr>
          <w:rFonts w:ascii="宋体" w:eastAsia="宋体" w:hAnsi="宋体" w:cs="黑体" w:hint="eastAsia"/>
          <w:sz w:val="28"/>
          <w:szCs w:val="24"/>
        </w:rPr>
        <w:t>7</w:t>
      </w:r>
      <w:r w:rsidRPr="00B757D9">
        <w:rPr>
          <w:rFonts w:ascii="宋体" w:eastAsia="宋体" w:hAnsi="宋体" w:cs="黑体" w:hint="eastAsia"/>
          <w:sz w:val="28"/>
          <w:szCs w:val="24"/>
        </w:rPr>
        <w:t>.</w:t>
      </w:r>
      <w:r w:rsidRPr="00B757D9">
        <w:rPr>
          <w:rFonts w:ascii="宋体" w:eastAsia="宋体" w:hAnsi="宋体" w:cs="黑体"/>
          <w:sz w:val="28"/>
          <w:szCs w:val="24"/>
        </w:rPr>
        <w:t xml:space="preserve"> 入围供应商的淘汰比例：20%，且至少淘汰一家供应商（提交响应文件和符合资格条件、实质性要求的供应商少于 2 家时，采购活动终止）。</w:t>
      </w:r>
    </w:p>
    <w:p w:rsidR="008B254E" w:rsidRDefault="008B254E" w:rsidP="008B254E">
      <w:pPr>
        <w:spacing w:line="220" w:lineRule="atLeast"/>
        <w:ind w:firstLineChars="200" w:firstLine="440"/>
      </w:pPr>
    </w:p>
    <w:sectPr w:rsidR="008B254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755" w:rsidRDefault="00860755" w:rsidP="00A01F43">
      <w:pPr>
        <w:spacing w:after="0"/>
      </w:pPr>
      <w:r>
        <w:separator/>
      </w:r>
    </w:p>
  </w:endnote>
  <w:endnote w:type="continuationSeparator" w:id="0">
    <w:p w:rsidR="00860755" w:rsidRDefault="00860755" w:rsidP="00A01F4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auto"/>
    <w:pitch w:val="default"/>
    <w:sig w:usb0="00000000"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00"/>
    <w:family w:val="modern"/>
    <w:pitch w:val="default"/>
    <w:sig w:usb0="00000000" w:usb1="00000000" w:usb2="00000010" w:usb3="00000000" w:csb0="00040000" w:csb1="00000000"/>
  </w:font>
  <w:font w:name="汉仪叶叶相思体简">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755" w:rsidRDefault="00860755" w:rsidP="00A01F43">
      <w:pPr>
        <w:spacing w:after="0"/>
      </w:pPr>
      <w:r>
        <w:separator/>
      </w:r>
    </w:p>
  </w:footnote>
  <w:footnote w:type="continuationSeparator" w:id="0">
    <w:p w:rsidR="00860755" w:rsidRDefault="00860755" w:rsidP="00A01F4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BFF327"/>
    <w:multiLevelType w:val="singleLevel"/>
    <w:tmpl w:val="B7BFF327"/>
    <w:lvl w:ilvl="0">
      <w:start w:val="1"/>
      <w:numFmt w:val="decimal"/>
      <w:suff w:val="nothing"/>
      <w:lvlText w:val="%1．"/>
      <w:lvlJc w:val="left"/>
      <w:pPr>
        <w:ind w:left="0" w:firstLine="400"/>
      </w:pPr>
      <w:rPr>
        <w:rFonts w:hint="default"/>
      </w:rPr>
    </w:lvl>
  </w:abstractNum>
  <w:abstractNum w:abstractNumId="1">
    <w:nsid w:val="BF7AEBC6"/>
    <w:multiLevelType w:val="singleLevel"/>
    <w:tmpl w:val="BF7AEBC6"/>
    <w:lvl w:ilvl="0">
      <w:start w:val="1"/>
      <w:numFmt w:val="decimal"/>
      <w:suff w:val="nothing"/>
      <w:lvlText w:val="%1．"/>
      <w:lvlJc w:val="left"/>
      <w:pPr>
        <w:ind w:left="0" w:firstLine="400"/>
      </w:pPr>
      <w:rPr>
        <w:rFonts w:hint="default"/>
      </w:rPr>
    </w:lvl>
  </w:abstractNum>
  <w:abstractNum w:abstractNumId="2">
    <w:nsid w:val="FFFE60B2"/>
    <w:multiLevelType w:val="singleLevel"/>
    <w:tmpl w:val="FFFE60B2"/>
    <w:lvl w:ilvl="0">
      <w:start w:val="1"/>
      <w:numFmt w:val="chineseCounting"/>
      <w:suff w:val="nothing"/>
      <w:lvlText w:val="%1、"/>
      <w:lvlJc w:val="left"/>
      <w:pPr>
        <w:ind w:left="0" w:firstLine="420"/>
      </w:pPr>
      <w:rPr>
        <w:rFonts w:hint="eastAsia"/>
      </w:rPr>
    </w:lvl>
  </w:abstractNum>
  <w:abstractNum w:abstractNumId="3">
    <w:nsid w:val="04E85C05"/>
    <w:multiLevelType w:val="hybridMultilevel"/>
    <w:tmpl w:val="35FC7DE8"/>
    <w:lvl w:ilvl="0" w:tplc="CB227AAA">
      <w:start w:val="2"/>
      <w:numFmt w:val="decimal"/>
      <w:lvlText w:val="%1）"/>
      <w:lvlJc w:val="left"/>
      <w:pPr>
        <w:ind w:left="1140" w:hanging="720"/>
      </w:pPr>
      <w:rPr>
        <w:rFonts w:ascii="宋体" w:eastAsia="宋体" w:hAnsi="宋体" w:cs="宋体" w:hint="default"/>
        <w:color w:val="0C0C0C"/>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220318A4"/>
    <w:multiLevelType w:val="hybridMultilevel"/>
    <w:tmpl w:val="377A9F30"/>
    <w:lvl w:ilvl="0" w:tplc="32265DFE">
      <w:start w:val="2"/>
      <w:numFmt w:val="decimal"/>
      <w:lvlText w:val="%1）"/>
      <w:lvlJc w:val="left"/>
      <w:pPr>
        <w:ind w:left="720" w:hanging="720"/>
      </w:pPr>
      <w:rPr>
        <w:rFonts w:ascii="宋体" w:eastAsia="宋体" w:hAnsi="宋体" w:cs="宋体" w:hint="default"/>
        <w:color w:val="0C0C0C"/>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F33A3F"/>
    <w:multiLevelType w:val="hybridMultilevel"/>
    <w:tmpl w:val="32F65546"/>
    <w:lvl w:ilvl="0" w:tplc="8518680C">
      <w:start w:val="2"/>
      <w:numFmt w:val="japaneseCounting"/>
      <w:lvlText w:val="（%1）"/>
      <w:lvlJc w:val="left"/>
      <w:pPr>
        <w:ind w:left="1425" w:hanging="10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7CC239B"/>
    <w:multiLevelType w:val="singleLevel"/>
    <w:tmpl w:val="37CC239B"/>
    <w:lvl w:ilvl="0">
      <w:start w:val="1"/>
      <w:numFmt w:val="decimal"/>
      <w:suff w:val="nothing"/>
      <w:lvlText w:val="%1．"/>
      <w:lvlJc w:val="left"/>
      <w:pPr>
        <w:ind w:left="0" w:firstLine="400"/>
      </w:pPr>
      <w:rPr>
        <w:rFonts w:hint="default"/>
      </w:rPr>
    </w:lvl>
  </w:abstractNum>
  <w:abstractNum w:abstractNumId="7">
    <w:nsid w:val="65DB5DA4"/>
    <w:multiLevelType w:val="hybridMultilevel"/>
    <w:tmpl w:val="668EE162"/>
    <w:lvl w:ilvl="0" w:tplc="84149D12">
      <w:start w:val="2"/>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697F0691"/>
    <w:multiLevelType w:val="singleLevel"/>
    <w:tmpl w:val="697F0691"/>
    <w:lvl w:ilvl="0">
      <w:start w:val="1"/>
      <w:numFmt w:val="decimal"/>
      <w:suff w:val="nothing"/>
      <w:lvlText w:val="%1．"/>
      <w:lvlJc w:val="left"/>
      <w:pPr>
        <w:ind w:left="0" w:firstLine="400"/>
      </w:pPr>
      <w:rPr>
        <w:rFonts w:hint="default"/>
      </w:rPr>
    </w:lvl>
  </w:abstractNum>
  <w:abstractNum w:abstractNumId="9">
    <w:nsid w:val="76E90EB6"/>
    <w:multiLevelType w:val="hybridMultilevel"/>
    <w:tmpl w:val="C3A4E140"/>
    <w:lvl w:ilvl="0" w:tplc="ED322A64">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C7A0CDC"/>
    <w:multiLevelType w:val="singleLevel"/>
    <w:tmpl w:val="7C7A0CDC"/>
    <w:lvl w:ilvl="0">
      <w:start w:val="1"/>
      <w:numFmt w:val="decimal"/>
      <w:lvlText w:val="%1)"/>
      <w:lvlJc w:val="left"/>
      <w:pPr>
        <w:ind w:left="425" w:hanging="425"/>
      </w:pPr>
      <w:rPr>
        <w:rFonts w:hint="default"/>
      </w:rPr>
    </w:lvl>
  </w:abstractNum>
  <w:num w:numId="1">
    <w:abstractNumId w:val="2"/>
  </w:num>
  <w:num w:numId="2">
    <w:abstractNumId w:val="8"/>
  </w:num>
  <w:num w:numId="3">
    <w:abstractNumId w:val="6"/>
  </w:num>
  <w:num w:numId="4">
    <w:abstractNumId w:val="10"/>
  </w:num>
  <w:num w:numId="5">
    <w:abstractNumId w:val="1"/>
  </w:num>
  <w:num w:numId="6">
    <w:abstractNumId w:val="5"/>
  </w:num>
  <w:num w:numId="7">
    <w:abstractNumId w:val="9"/>
  </w:num>
  <w:num w:numId="8">
    <w:abstractNumId w:val="4"/>
  </w:num>
  <w:num w:numId="9">
    <w:abstractNumId w:val="3"/>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2712F"/>
    <w:rsid w:val="00187694"/>
    <w:rsid w:val="0028554D"/>
    <w:rsid w:val="00323B43"/>
    <w:rsid w:val="003D37D8"/>
    <w:rsid w:val="00426133"/>
    <w:rsid w:val="004358AB"/>
    <w:rsid w:val="006652C3"/>
    <w:rsid w:val="008551EF"/>
    <w:rsid w:val="00860755"/>
    <w:rsid w:val="008B254E"/>
    <w:rsid w:val="008B7726"/>
    <w:rsid w:val="00A01F43"/>
    <w:rsid w:val="00D31D50"/>
    <w:rsid w:val="00EA24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iPriority w:val="9"/>
    <w:qFormat/>
    <w:rsid w:val="00A01F43"/>
    <w:pPr>
      <w:keepNext/>
      <w:keepLines/>
      <w:widowControl w:val="0"/>
      <w:adjustRightInd/>
      <w:snapToGrid/>
      <w:spacing w:before="260" w:after="260" w:line="413" w:lineRule="auto"/>
      <w:jc w:val="both"/>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1F4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01F43"/>
    <w:rPr>
      <w:rFonts w:ascii="Tahoma" w:hAnsi="Tahoma"/>
      <w:sz w:val="18"/>
      <w:szCs w:val="18"/>
    </w:rPr>
  </w:style>
  <w:style w:type="paragraph" w:styleId="a4">
    <w:name w:val="footer"/>
    <w:basedOn w:val="a"/>
    <w:link w:val="Char0"/>
    <w:uiPriority w:val="99"/>
    <w:semiHidden/>
    <w:unhideWhenUsed/>
    <w:rsid w:val="00A01F43"/>
    <w:pPr>
      <w:tabs>
        <w:tab w:val="center" w:pos="4153"/>
        <w:tab w:val="right" w:pos="8306"/>
      </w:tabs>
    </w:pPr>
    <w:rPr>
      <w:sz w:val="18"/>
      <w:szCs w:val="18"/>
    </w:rPr>
  </w:style>
  <w:style w:type="character" w:customStyle="1" w:styleId="Char0">
    <w:name w:val="页脚 Char"/>
    <w:basedOn w:val="a0"/>
    <w:link w:val="a4"/>
    <w:uiPriority w:val="99"/>
    <w:semiHidden/>
    <w:rsid w:val="00A01F43"/>
    <w:rPr>
      <w:rFonts w:ascii="Tahoma" w:hAnsi="Tahoma"/>
      <w:sz w:val="18"/>
      <w:szCs w:val="18"/>
    </w:rPr>
  </w:style>
  <w:style w:type="character" w:customStyle="1" w:styleId="2Char">
    <w:name w:val="标题 2 Char"/>
    <w:basedOn w:val="a0"/>
    <w:link w:val="2"/>
    <w:uiPriority w:val="9"/>
    <w:qFormat/>
    <w:rsid w:val="00A01F43"/>
    <w:rPr>
      <w:rFonts w:ascii="Arial" w:eastAsia="黑体" w:hAnsi="Arial" w:cs="Times New Roman"/>
      <w:b/>
      <w:bCs/>
      <w:sz w:val="32"/>
      <w:szCs w:val="32"/>
    </w:rPr>
  </w:style>
  <w:style w:type="paragraph" w:styleId="7">
    <w:name w:val="toc 7"/>
    <w:basedOn w:val="a"/>
    <w:next w:val="a"/>
    <w:rsid w:val="00A01F43"/>
    <w:pPr>
      <w:widowControl w:val="0"/>
      <w:adjustRightInd/>
      <w:snapToGrid/>
      <w:spacing w:after="0"/>
      <w:ind w:left="1680"/>
    </w:pPr>
    <w:rPr>
      <w:rFonts w:ascii="Times New Roman" w:eastAsia="宋体" w:hAnsi="Times New Roman" w:cs="Times New Roman"/>
      <w:kern w:val="2"/>
      <w:sz w:val="18"/>
      <w:szCs w:val="18"/>
    </w:rPr>
  </w:style>
  <w:style w:type="paragraph" w:styleId="a5">
    <w:name w:val="Body Text"/>
    <w:basedOn w:val="a"/>
    <w:next w:val="7"/>
    <w:link w:val="Char1"/>
    <w:uiPriority w:val="99"/>
    <w:qFormat/>
    <w:rsid w:val="00A01F43"/>
    <w:pPr>
      <w:widowControl w:val="0"/>
      <w:adjustRightInd/>
      <w:snapToGrid/>
      <w:spacing w:after="120"/>
      <w:jc w:val="both"/>
    </w:pPr>
    <w:rPr>
      <w:rFonts w:ascii="Calibri" w:eastAsia="宋体" w:hAnsi="Calibri" w:cs="Times New Roman"/>
      <w:sz w:val="20"/>
      <w:szCs w:val="20"/>
    </w:rPr>
  </w:style>
  <w:style w:type="character" w:customStyle="1" w:styleId="Char2">
    <w:name w:val="正文文本 Char"/>
    <w:basedOn w:val="a0"/>
    <w:link w:val="a5"/>
    <w:uiPriority w:val="99"/>
    <w:semiHidden/>
    <w:rsid w:val="00A01F43"/>
    <w:rPr>
      <w:rFonts w:ascii="Tahoma" w:hAnsi="Tahoma"/>
    </w:rPr>
  </w:style>
  <w:style w:type="character" w:customStyle="1" w:styleId="Char1">
    <w:name w:val="正文文本 Char1"/>
    <w:link w:val="a5"/>
    <w:uiPriority w:val="99"/>
    <w:rsid w:val="00A01F43"/>
    <w:rPr>
      <w:rFonts w:ascii="Calibri" w:eastAsia="宋体" w:hAnsi="Calibri" w:cs="Times New Roman"/>
      <w:sz w:val="20"/>
      <w:szCs w:val="20"/>
    </w:rPr>
  </w:style>
  <w:style w:type="paragraph" w:styleId="a6">
    <w:name w:val="Body Text Indent"/>
    <w:basedOn w:val="a"/>
    <w:link w:val="Char3"/>
    <w:uiPriority w:val="99"/>
    <w:semiHidden/>
    <w:unhideWhenUsed/>
    <w:rsid w:val="00A01F43"/>
    <w:pPr>
      <w:spacing w:after="120"/>
      <w:ind w:leftChars="200" w:left="420"/>
    </w:pPr>
  </w:style>
  <w:style w:type="character" w:customStyle="1" w:styleId="Char3">
    <w:name w:val="正文文本缩进 Char"/>
    <w:basedOn w:val="a0"/>
    <w:link w:val="a6"/>
    <w:uiPriority w:val="99"/>
    <w:semiHidden/>
    <w:rsid w:val="00A01F43"/>
    <w:rPr>
      <w:rFonts w:ascii="Tahoma" w:hAnsi="Tahoma"/>
    </w:rPr>
  </w:style>
  <w:style w:type="paragraph" w:styleId="20">
    <w:name w:val="Body Text First Indent 2"/>
    <w:basedOn w:val="a6"/>
    <w:link w:val="2Char1"/>
    <w:uiPriority w:val="99"/>
    <w:rsid w:val="00A01F43"/>
    <w:pPr>
      <w:widowControl w:val="0"/>
      <w:adjustRightInd/>
      <w:snapToGrid/>
      <w:ind w:firstLineChars="200" w:firstLine="420"/>
      <w:jc w:val="both"/>
    </w:pPr>
    <w:rPr>
      <w:rFonts w:ascii="Calibri" w:eastAsia="宋体" w:hAnsi="Calibri" w:cs="Times New Roman"/>
      <w:sz w:val="28"/>
      <w:szCs w:val="24"/>
    </w:rPr>
  </w:style>
  <w:style w:type="character" w:customStyle="1" w:styleId="2Char0">
    <w:name w:val="正文首行缩进 2 Char"/>
    <w:basedOn w:val="Char3"/>
    <w:link w:val="20"/>
    <w:uiPriority w:val="99"/>
    <w:semiHidden/>
    <w:rsid w:val="00A01F43"/>
  </w:style>
  <w:style w:type="character" w:customStyle="1" w:styleId="2Char1">
    <w:name w:val="正文首行缩进 2 Char1"/>
    <w:link w:val="20"/>
    <w:uiPriority w:val="99"/>
    <w:rsid w:val="00A01F43"/>
    <w:rPr>
      <w:rFonts w:ascii="Calibri" w:eastAsia="宋体" w:hAnsi="Calibri" w:cs="Times New Roman"/>
      <w:sz w:val="28"/>
      <w:szCs w:val="24"/>
    </w:rPr>
  </w:style>
  <w:style w:type="paragraph" w:styleId="a7">
    <w:name w:val="List Paragraph"/>
    <w:basedOn w:val="a"/>
    <w:link w:val="Char4"/>
    <w:uiPriority w:val="34"/>
    <w:qFormat/>
    <w:rsid w:val="00A01F43"/>
    <w:pPr>
      <w:ind w:firstLineChars="200" w:firstLine="420"/>
    </w:pPr>
  </w:style>
  <w:style w:type="character" w:customStyle="1" w:styleId="Char4">
    <w:name w:val="列出段落 Char"/>
    <w:link w:val="a7"/>
    <w:uiPriority w:val="34"/>
    <w:qFormat/>
    <w:rsid w:val="008B254E"/>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NTKO</cp:lastModifiedBy>
  <cp:revision>5</cp:revision>
  <dcterms:created xsi:type="dcterms:W3CDTF">2008-09-11T17:20:00Z</dcterms:created>
  <dcterms:modified xsi:type="dcterms:W3CDTF">2023-09-21T04:17:00Z</dcterms:modified>
</cp:coreProperties>
</file>