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tabs>
          <w:tab w:val="left" w:pos="1982"/>
        </w:tabs>
        <w:adjustRightInd w:val="0"/>
        <w:snapToGrid w:val="0"/>
        <w:spacing w:line="560" w:lineRule="exact"/>
        <w:ind w:firstLine="0"/>
        <w:jc w:val="center"/>
        <w:rPr>
          <w:rFonts w:ascii="方正小标宋简体" w:hAnsi="黑体" w:eastAsia="方正小标宋简体" w:cs="黑体"/>
          <w:sz w:val="44"/>
          <w:szCs w:val="44"/>
          <w:lang w:val="en-US" w:eastAsia="zh-CN"/>
        </w:rPr>
      </w:pPr>
      <w:r>
        <w:rPr>
          <w:rFonts w:hint="eastAsia" w:ascii="方正小标宋简体" w:hAnsi="黑体" w:eastAsia="方正小标宋简体" w:cs="黑体"/>
          <w:sz w:val="44"/>
          <w:szCs w:val="44"/>
          <w:lang w:val="en-US" w:eastAsia="zh-CN"/>
        </w:rPr>
        <w:t>车辆维修和保养需求标准</w:t>
      </w:r>
    </w:p>
    <w:p>
      <w:pPr>
        <w:snapToGrid w:val="0"/>
        <w:spacing w:line="700" w:lineRule="exact"/>
        <w:jc w:val="center"/>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（征求意见稿）</w:t>
      </w:r>
    </w:p>
    <w:p>
      <w:pPr>
        <w:keepNext/>
        <w:keepLines/>
        <w:spacing w:line="560" w:lineRule="exact"/>
        <w:ind w:firstLine="640" w:firstLineChars="200"/>
        <w:outlineLvl w:val="0"/>
        <w:rPr>
          <w:rFonts w:ascii="黑体" w:hAnsi="黑体" w:eastAsia="黑体"/>
          <w:kern w:val="44"/>
          <w:sz w:val="32"/>
          <w:szCs w:val="32"/>
        </w:rPr>
      </w:pPr>
      <w:r>
        <w:rPr>
          <w:rFonts w:ascii="黑体" w:hAnsi="黑体" w:eastAsia="黑体"/>
          <w:kern w:val="44"/>
          <w:sz w:val="32"/>
          <w:szCs w:val="32"/>
        </w:rPr>
        <w:t>一、</w:t>
      </w:r>
      <w:r>
        <w:rPr>
          <w:rFonts w:hint="eastAsia" w:ascii="黑体" w:hAnsi="黑体" w:eastAsia="黑体"/>
          <w:kern w:val="44"/>
          <w:sz w:val="32"/>
          <w:szCs w:val="32"/>
        </w:rPr>
        <w:t>供应商的资格条件</w:t>
      </w:r>
    </w:p>
    <w:p>
      <w:pPr>
        <w:widowControl/>
        <w:snapToGrid w:val="0"/>
        <w:spacing w:line="520" w:lineRule="exact"/>
        <w:ind w:firstLine="640" w:firstLineChars="200"/>
        <w:jc w:val="left"/>
        <w:rPr>
          <w:rFonts w:hint="eastAsia" w:ascii="仿宋" w:hAnsi="仿宋" w:eastAsia="仿宋" w:cs="仿宋"/>
          <w:bCs/>
          <w:sz w:val="32"/>
          <w:szCs w:val="32"/>
        </w:rPr>
      </w:pPr>
      <w:r>
        <w:rPr>
          <w:rFonts w:hint="eastAsia" w:ascii="仿宋" w:hAnsi="仿宋" w:eastAsia="仿宋" w:cs="仿宋"/>
          <w:bCs/>
          <w:sz w:val="32"/>
          <w:szCs w:val="32"/>
        </w:rPr>
        <w:t>（一）满足《中华人民共和国政府采购法》第二十二条规定，即：</w:t>
      </w:r>
    </w:p>
    <w:p>
      <w:pPr>
        <w:widowControl/>
        <w:snapToGrid w:val="0"/>
        <w:spacing w:line="520" w:lineRule="exact"/>
        <w:ind w:firstLine="960" w:firstLineChars="300"/>
        <w:jc w:val="left"/>
        <w:rPr>
          <w:rFonts w:hint="eastAsia" w:ascii="仿宋" w:hAnsi="仿宋" w:eastAsia="仿宋" w:cs="仿宋"/>
          <w:bCs/>
          <w:sz w:val="32"/>
          <w:szCs w:val="32"/>
        </w:rPr>
      </w:pPr>
      <w:r>
        <w:rPr>
          <w:rFonts w:hint="eastAsia" w:ascii="仿宋" w:hAnsi="仿宋" w:eastAsia="仿宋" w:cs="仿宋"/>
          <w:bCs/>
          <w:sz w:val="32"/>
          <w:szCs w:val="32"/>
        </w:rPr>
        <w:t>1.具有独立承担民事责任的能力；</w:t>
      </w:r>
    </w:p>
    <w:p>
      <w:pPr>
        <w:widowControl/>
        <w:snapToGrid w:val="0"/>
        <w:spacing w:line="520" w:lineRule="exact"/>
        <w:ind w:firstLine="960" w:firstLineChars="300"/>
        <w:jc w:val="left"/>
        <w:rPr>
          <w:rFonts w:hint="eastAsia" w:ascii="仿宋" w:hAnsi="仿宋" w:eastAsia="仿宋" w:cs="仿宋"/>
          <w:bCs/>
          <w:sz w:val="32"/>
          <w:szCs w:val="32"/>
        </w:rPr>
      </w:pPr>
      <w:r>
        <w:rPr>
          <w:rFonts w:hint="eastAsia" w:ascii="仿宋" w:hAnsi="仿宋" w:eastAsia="仿宋" w:cs="仿宋"/>
          <w:bCs/>
          <w:sz w:val="32"/>
          <w:szCs w:val="32"/>
        </w:rPr>
        <w:t>2.具有良好的商业信誉和健全的财务会计制度；</w:t>
      </w:r>
    </w:p>
    <w:p>
      <w:pPr>
        <w:widowControl/>
        <w:snapToGrid w:val="0"/>
        <w:spacing w:line="520" w:lineRule="exact"/>
        <w:ind w:firstLine="960" w:firstLineChars="300"/>
        <w:jc w:val="left"/>
        <w:rPr>
          <w:rFonts w:hint="eastAsia" w:ascii="仿宋" w:hAnsi="仿宋" w:eastAsia="仿宋" w:cs="仿宋"/>
          <w:bCs/>
          <w:sz w:val="32"/>
          <w:szCs w:val="32"/>
        </w:rPr>
      </w:pPr>
      <w:r>
        <w:rPr>
          <w:rFonts w:hint="eastAsia" w:ascii="仿宋" w:hAnsi="仿宋" w:eastAsia="仿宋" w:cs="仿宋"/>
          <w:bCs/>
          <w:sz w:val="32"/>
          <w:szCs w:val="32"/>
        </w:rPr>
        <w:t>3.具有履行合同所必需的设备和专业技术能力；</w:t>
      </w:r>
    </w:p>
    <w:p>
      <w:pPr>
        <w:widowControl/>
        <w:snapToGrid w:val="0"/>
        <w:spacing w:line="520" w:lineRule="exact"/>
        <w:ind w:firstLine="960" w:firstLineChars="300"/>
        <w:jc w:val="left"/>
        <w:rPr>
          <w:rFonts w:hint="eastAsia" w:ascii="仿宋" w:hAnsi="仿宋" w:eastAsia="仿宋" w:cs="仿宋"/>
          <w:bCs/>
          <w:sz w:val="32"/>
          <w:szCs w:val="32"/>
        </w:rPr>
      </w:pPr>
      <w:r>
        <w:rPr>
          <w:rFonts w:hint="eastAsia" w:ascii="仿宋" w:hAnsi="仿宋" w:eastAsia="仿宋" w:cs="仿宋"/>
          <w:bCs/>
          <w:sz w:val="32"/>
          <w:szCs w:val="32"/>
        </w:rPr>
        <w:t>4.有依法缴纳税收和社会保障资金的良好记录；</w:t>
      </w:r>
    </w:p>
    <w:p>
      <w:pPr>
        <w:widowControl/>
        <w:snapToGrid w:val="0"/>
        <w:spacing w:line="520" w:lineRule="exact"/>
        <w:ind w:firstLine="960" w:firstLineChars="300"/>
        <w:jc w:val="left"/>
        <w:rPr>
          <w:rFonts w:hint="eastAsia" w:ascii="仿宋" w:hAnsi="仿宋" w:eastAsia="仿宋" w:cs="仿宋"/>
          <w:bCs/>
          <w:sz w:val="32"/>
          <w:szCs w:val="32"/>
        </w:rPr>
      </w:pPr>
      <w:r>
        <w:rPr>
          <w:rFonts w:hint="eastAsia" w:ascii="仿宋" w:hAnsi="仿宋" w:eastAsia="仿宋" w:cs="仿宋"/>
          <w:bCs/>
          <w:sz w:val="32"/>
          <w:szCs w:val="32"/>
        </w:rPr>
        <w:t>5.参加政府采购活动前三年内，在经营活动中没有重大违法记录；</w:t>
      </w:r>
    </w:p>
    <w:p>
      <w:pPr>
        <w:widowControl/>
        <w:snapToGrid w:val="0"/>
        <w:spacing w:line="520" w:lineRule="exact"/>
        <w:ind w:firstLine="960" w:firstLineChars="300"/>
        <w:jc w:val="left"/>
        <w:rPr>
          <w:rFonts w:hint="eastAsia" w:ascii="仿宋" w:hAnsi="仿宋" w:eastAsia="仿宋" w:cs="仿宋"/>
          <w:bCs/>
          <w:sz w:val="32"/>
          <w:szCs w:val="32"/>
        </w:rPr>
      </w:pPr>
      <w:r>
        <w:rPr>
          <w:rFonts w:hint="eastAsia" w:ascii="仿宋" w:hAnsi="仿宋" w:eastAsia="仿宋" w:cs="仿宋"/>
          <w:bCs/>
          <w:sz w:val="32"/>
          <w:szCs w:val="32"/>
        </w:rPr>
        <w:t>6.法律、行政法规规定的其他条件。</w:t>
      </w:r>
    </w:p>
    <w:p>
      <w:pPr>
        <w:widowControl/>
        <w:snapToGrid w:val="0"/>
        <w:spacing w:line="520" w:lineRule="exact"/>
        <w:ind w:left="319" w:leftChars="152" w:firstLine="320" w:firstLineChars="100"/>
        <w:jc w:val="left"/>
        <w:rPr>
          <w:rFonts w:hint="eastAsia" w:ascii="仿宋" w:hAnsi="仿宋" w:eastAsia="仿宋" w:cs="仿宋"/>
          <w:bCs/>
          <w:sz w:val="32"/>
          <w:szCs w:val="32"/>
        </w:rPr>
      </w:pPr>
      <w:r>
        <w:rPr>
          <w:rFonts w:hint="eastAsia" w:ascii="仿宋" w:hAnsi="仿宋" w:eastAsia="仿宋" w:cs="仿宋"/>
          <w:bCs/>
          <w:sz w:val="32"/>
          <w:szCs w:val="32"/>
        </w:rPr>
        <w:t>（二）未被列入失信被执行人、重大税收违法案件当事人名单，未被列入政府采购严重违法失信行为记录名单。</w:t>
      </w:r>
    </w:p>
    <w:p>
      <w:pPr>
        <w:widowControl/>
        <w:snapToGrid w:val="0"/>
        <w:spacing w:line="520" w:lineRule="exact"/>
        <w:ind w:firstLine="640" w:firstLineChars="200"/>
        <w:jc w:val="left"/>
        <w:rPr>
          <w:rFonts w:hint="eastAsia" w:ascii="仿宋" w:hAnsi="仿宋" w:eastAsia="仿宋" w:cs="仿宋"/>
          <w:bCs/>
          <w:sz w:val="32"/>
          <w:szCs w:val="32"/>
          <w:lang w:val="en-US" w:eastAsia="zh-CN"/>
        </w:rPr>
      </w:pPr>
      <w:r>
        <w:rPr>
          <w:rFonts w:hint="eastAsia" w:ascii="仿宋" w:hAnsi="仿宋" w:eastAsia="仿宋" w:cs="仿宋"/>
          <w:bCs/>
          <w:sz w:val="32"/>
          <w:szCs w:val="32"/>
        </w:rPr>
        <w:t>（三）落实政府采购政策需满足的资格要求：</w:t>
      </w:r>
      <w:r>
        <w:rPr>
          <w:rFonts w:hint="eastAsia" w:ascii="仿宋" w:hAnsi="仿宋" w:eastAsia="仿宋" w:cs="仿宋"/>
          <w:bCs/>
          <w:sz w:val="32"/>
          <w:szCs w:val="32"/>
          <w:lang w:eastAsia="zh-CN"/>
        </w:rPr>
        <w:t>专门面向中小微企业</w:t>
      </w:r>
    </w:p>
    <w:p>
      <w:pPr>
        <w:widowControl/>
        <w:snapToGrid w:val="0"/>
        <w:spacing w:line="520" w:lineRule="exact"/>
        <w:ind w:left="958" w:leftChars="304" w:hanging="320" w:hangingChars="100"/>
        <w:jc w:val="left"/>
        <w:rPr>
          <w:rFonts w:hint="eastAsia" w:ascii="仿宋" w:hAnsi="仿宋" w:eastAsia="仿宋" w:cs="仿宋"/>
          <w:bCs/>
          <w:sz w:val="32"/>
          <w:szCs w:val="32"/>
        </w:rPr>
      </w:pPr>
      <w:r>
        <w:rPr>
          <w:rFonts w:hint="eastAsia" w:ascii="仿宋" w:hAnsi="仿宋" w:eastAsia="仿宋" w:cs="仿宋"/>
          <w:bCs/>
          <w:sz w:val="32"/>
          <w:szCs w:val="32"/>
        </w:rPr>
        <w:t>（四）本项目的特定资格要求：</w:t>
      </w:r>
      <w:r>
        <w:rPr>
          <w:rFonts w:hint="eastAsia" w:ascii="仿宋" w:hAnsi="仿宋" w:eastAsia="仿宋" w:cs="仿宋"/>
          <w:bCs/>
          <w:sz w:val="32"/>
          <w:szCs w:val="32"/>
          <w:lang w:val="en-US" w:eastAsia="zh-CN"/>
        </w:rPr>
        <w:t>1.</w:t>
      </w:r>
      <w:r>
        <w:rPr>
          <w:rFonts w:hint="eastAsia" w:ascii="仿宋" w:hAnsi="仿宋" w:eastAsia="仿宋" w:cs="仿宋"/>
          <w:bCs/>
          <w:sz w:val="32"/>
          <w:szCs w:val="32"/>
          <w:lang w:eastAsia="zh-CN"/>
        </w:rPr>
        <w:t>供应商应提供道路运输经营许可证</w:t>
      </w:r>
      <w:r>
        <w:rPr>
          <w:rFonts w:hint="eastAsia" w:ascii="仿宋" w:hAnsi="仿宋" w:eastAsia="仿宋" w:cs="仿宋"/>
          <w:bCs/>
          <w:sz w:val="32"/>
          <w:szCs w:val="32"/>
          <w:lang w:val="en-US" w:eastAsia="zh-CN"/>
        </w:rPr>
        <w:t>2.</w:t>
      </w:r>
      <w:r>
        <w:rPr>
          <w:rFonts w:hint="eastAsia" w:ascii="仿宋" w:hAnsi="仿宋" w:eastAsia="仿宋" w:cs="仿宋"/>
          <w:bCs/>
          <w:sz w:val="32"/>
          <w:szCs w:val="32"/>
          <w:lang w:eastAsia="zh-CN"/>
        </w:rPr>
        <w:t>本项目不接受联合体投标，不接受分公司投标。</w:t>
      </w:r>
    </w:p>
    <w:p>
      <w:pPr>
        <w:keepNext w:val="0"/>
        <w:keepLines w:val="0"/>
        <w:pageBreakBefore w:val="0"/>
        <w:widowControl/>
        <w:kinsoku/>
        <w:wordWrap/>
        <w:overflowPunct/>
        <w:topLinePunct w:val="0"/>
        <w:autoSpaceDE/>
        <w:autoSpaceDN/>
        <w:bidi w:val="0"/>
        <w:adjustRightInd/>
        <w:snapToGrid/>
        <w:spacing w:line="520" w:lineRule="exact"/>
        <w:ind w:left="319" w:leftChars="152" w:firstLine="640" w:firstLineChars="200"/>
        <w:jc w:val="left"/>
        <w:textAlignment w:val="auto"/>
        <w:rPr>
          <w:rFonts w:hint="eastAsia" w:ascii="仿宋" w:hAnsi="仿宋" w:eastAsia="仿宋" w:cs="仿宋"/>
          <w:bCs/>
          <w:sz w:val="32"/>
          <w:szCs w:val="32"/>
        </w:rPr>
      </w:pPr>
      <w:r>
        <w:rPr>
          <w:rFonts w:hint="eastAsia" w:ascii="仿宋" w:hAnsi="仿宋" w:eastAsia="仿宋" w:cs="仿宋"/>
          <w:bCs/>
          <w:sz w:val="32"/>
          <w:szCs w:val="32"/>
        </w:rPr>
        <w:t>本项目采用价格优先法进行评审</w:t>
      </w:r>
      <w:r>
        <w:rPr>
          <w:rFonts w:hint="eastAsia" w:ascii="仿宋" w:hAnsi="仿宋" w:eastAsia="仿宋" w:cs="仿宋"/>
          <w:bCs/>
          <w:sz w:val="32"/>
          <w:szCs w:val="32"/>
          <w:lang w:eastAsia="zh-CN"/>
        </w:rPr>
        <w:t>。</w:t>
      </w:r>
      <w:r>
        <w:rPr>
          <w:rFonts w:hint="eastAsia" w:ascii="仿宋" w:hAnsi="仿宋" w:eastAsia="仿宋" w:cs="仿宋"/>
          <w:bCs/>
          <w:sz w:val="32"/>
          <w:szCs w:val="32"/>
        </w:rPr>
        <w:t>入围供应商的淘汰比例：20%，且至少淘汰一家供应商（提交响应文件和符合资格条件、实质性要求的供应商少于 2 家时，采购活动终止）。</w:t>
      </w:r>
    </w:p>
    <w:p>
      <w:pPr>
        <w:keepNext w:val="0"/>
        <w:keepLines w:val="0"/>
        <w:pageBreakBefore w:val="0"/>
        <w:widowControl/>
        <w:kinsoku/>
        <w:wordWrap/>
        <w:overflowPunct/>
        <w:topLinePunct w:val="0"/>
        <w:autoSpaceDE/>
        <w:autoSpaceDN/>
        <w:bidi w:val="0"/>
        <w:adjustRightInd/>
        <w:snapToGrid/>
        <w:spacing w:line="520" w:lineRule="exact"/>
        <w:ind w:left="319" w:leftChars="152" w:firstLine="640" w:firstLineChars="200"/>
        <w:jc w:val="left"/>
        <w:textAlignment w:val="auto"/>
        <w:rPr>
          <w:rFonts w:hint="eastAsia" w:ascii="仿宋" w:hAnsi="仿宋" w:eastAsia="仿宋" w:cs="仿宋"/>
          <w:bCs/>
          <w:sz w:val="32"/>
          <w:szCs w:val="32"/>
          <w:lang w:val="zh-CN" w:eastAsia="zh-CN"/>
        </w:rPr>
      </w:pPr>
      <w:r>
        <w:rPr>
          <w:rFonts w:hint="eastAsia" w:ascii="仿宋" w:hAnsi="仿宋" w:eastAsia="仿宋" w:cs="仿宋"/>
          <w:bCs/>
          <w:sz w:val="32"/>
          <w:szCs w:val="32"/>
          <w:lang w:val="zh-CN" w:eastAsia="zh-CN"/>
        </w:rPr>
        <w:t>若计算的淘汰数非整数，则按照向上取整原则进行处理。即，淘汰数量=向上取整[供应商数量×20%]（示例：如有11家供应商投标，淘汰数量=向上取整[11×20%]=向上取整[2.2]=3,最终实际淘汰3家供应商）。</w:t>
      </w:r>
    </w:p>
    <w:p>
      <w:pPr>
        <w:keepNext w:val="0"/>
        <w:keepLines w:val="0"/>
        <w:pageBreakBefore w:val="0"/>
        <w:widowControl/>
        <w:kinsoku/>
        <w:wordWrap/>
        <w:overflowPunct/>
        <w:topLinePunct w:val="0"/>
        <w:autoSpaceDE/>
        <w:autoSpaceDN/>
        <w:bidi w:val="0"/>
        <w:adjustRightInd/>
        <w:snapToGrid/>
        <w:spacing w:line="520" w:lineRule="exact"/>
        <w:ind w:left="319" w:leftChars="152" w:firstLine="640" w:firstLineChars="200"/>
        <w:jc w:val="left"/>
        <w:textAlignment w:val="auto"/>
        <w:rPr>
          <w:rFonts w:hint="eastAsia" w:ascii="仿宋" w:hAnsi="仿宋" w:eastAsia="仿宋" w:cs="仿宋"/>
          <w:bCs/>
          <w:sz w:val="32"/>
          <w:szCs w:val="32"/>
          <w:lang w:val="zh-CN" w:eastAsia="zh-CN"/>
        </w:rPr>
      </w:pPr>
      <w:r>
        <w:rPr>
          <w:rFonts w:hint="eastAsia" w:ascii="仿宋" w:hAnsi="仿宋" w:eastAsia="仿宋" w:cs="仿宋"/>
          <w:bCs/>
          <w:sz w:val="32"/>
          <w:szCs w:val="32"/>
          <w:lang w:val="zh-CN" w:eastAsia="zh-CN"/>
        </w:rPr>
        <w:t>为防止报价趋同导致大量供应商进入淘汰名次（如：项目共计 100 家投标人参与投标，若 70 家报价为 80％，30 家报价为 90％，则报价为 90 ％ 的 30 家全部淘汰； 若 70 家报价为 80 ％， 1 家报价为89.99％，29 家报价为 90％，则报价为 90％的 29 家全部淘汰），请供应商报价至小数点后二位数。如 80.25％或 95.32％等。</w:t>
      </w:r>
    </w:p>
    <w:p>
      <w:pPr>
        <w:keepNext w:val="0"/>
        <w:keepLines w:val="0"/>
        <w:pageBreakBefore w:val="0"/>
        <w:widowControl/>
        <w:kinsoku/>
        <w:wordWrap/>
        <w:overflowPunct/>
        <w:topLinePunct w:val="0"/>
        <w:autoSpaceDE/>
        <w:autoSpaceDN/>
        <w:bidi w:val="0"/>
        <w:adjustRightInd/>
        <w:snapToGrid/>
        <w:spacing w:line="520" w:lineRule="exact"/>
        <w:ind w:left="319" w:leftChars="152" w:firstLine="640" w:firstLineChars="200"/>
        <w:jc w:val="left"/>
        <w:textAlignment w:val="auto"/>
        <w:rPr>
          <w:rFonts w:hint="eastAsia" w:ascii="仿宋" w:hAnsi="仿宋" w:eastAsia="仿宋" w:cs="仿宋"/>
          <w:bCs/>
          <w:sz w:val="32"/>
          <w:szCs w:val="32"/>
          <w:lang w:val="zh-CN" w:eastAsia="zh-CN"/>
        </w:rPr>
      </w:pPr>
      <w:r>
        <w:rPr>
          <w:rFonts w:hint="eastAsia" w:ascii="仿宋" w:hAnsi="仿宋" w:eastAsia="仿宋" w:cs="仿宋"/>
          <w:bCs/>
          <w:sz w:val="32"/>
          <w:szCs w:val="32"/>
          <w:lang w:val="zh-CN" w:eastAsia="zh-CN"/>
        </w:rPr>
        <w:t>本次征集活动中入围供应商的报价（即协议价格），是后续采购人或服务对象确定第二阶段具体项目成交供应商的最高限价。</w:t>
      </w:r>
    </w:p>
    <w:p>
      <w:pPr>
        <w:pStyle w:val="4"/>
        <w:jc w:val="center"/>
        <w:rPr>
          <w:rFonts w:ascii="黑体" w:hAnsi="黑体" w:eastAsia="黑体"/>
        </w:rPr>
      </w:pPr>
      <w:bookmarkStart w:id="0" w:name="_Toc15722"/>
      <w:bookmarkStart w:id="1" w:name="_Toc22495"/>
      <w:r>
        <w:rPr>
          <w:rFonts w:hint="eastAsia" w:ascii="黑体" w:hAnsi="黑体" w:eastAsia="黑体"/>
        </w:rPr>
        <w:t>第三章   项目服务要求</w:t>
      </w:r>
      <w:bookmarkEnd w:id="0"/>
      <w:bookmarkEnd w:id="1"/>
    </w:p>
    <w:p>
      <w:pPr>
        <w:pStyle w:val="5"/>
        <w:numPr>
          <w:ilvl w:val="0"/>
          <w:numId w:val="1"/>
        </w:numPr>
        <w:tabs>
          <w:tab w:val="left" w:pos="0"/>
        </w:tabs>
        <w:spacing w:before="200" w:after="200" w:line="360" w:lineRule="auto"/>
        <w:rPr>
          <w:rFonts w:hint="eastAsia" w:ascii="宋体" w:hAnsi="宋体" w:eastAsia="宋体" w:cs="Times New Roman"/>
          <w:b/>
          <w:bCs/>
          <w:kern w:val="2"/>
          <w:sz w:val="32"/>
          <w:szCs w:val="32"/>
          <w:lang w:val="en-US" w:eastAsia="zh-CN" w:bidi="ar-SA"/>
        </w:rPr>
      </w:pPr>
      <w:bookmarkStart w:id="2" w:name="_Toc12408"/>
      <w:bookmarkStart w:id="3" w:name="_Toc11820"/>
      <w:bookmarkStart w:id="4" w:name="_Toc498423543"/>
      <w:bookmarkStart w:id="5" w:name="_Toc494561955"/>
      <w:bookmarkStart w:id="6" w:name="_Toc24401"/>
      <w:bookmarkStart w:id="7" w:name="_Toc9708"/>
      <w:bookmarkStart w:id="8" w:name="_Toc30526"/>
      <w:bookmarkStart w:id="9" w:name="_Toc8596"/>
      <w:bookmarkStart w:id="10" w:name="_Toc495861536"/>
      <w:r>
        <w:rPr>
          <w:rFonts w:hint="eastAsia"/>
          <w:b/>
          <w:bCs/>
          <w:sz w:val="32"/>
          <w:szCs w:val="32"/>
        </w:rPr>
        <w:t>项</w:t>
      </w:r>
      <w:r>
        <w:rPr>
          <w:rFonts w:hint="eastAsia" w:ascii="宋体" w:hAnsi="宋体" w:eastAsia="宋体" w:cs="Times New Roman"/>
          <w:b/>
          <w:bCs/>
          <w:kern w:val="2"/>
          <w:sz w:val="32"/>
          <w:szCs w:val="32"/>
          <w:lang w:val="en-US" w:eastAsia="zh-CN" w:bidi="ar-SA"/>
        </w:rPr>
        <w:t>目概况</w:t>
      </w:r>
      <w:bookmarkEnd w:id="2"/>
      <w:bookmarkEnd w:id="3"/>
    </w:p>
    <w:bookmarkEnd w:id="4"/>
    <w:bookmarkEnd w:id="5"/>
    <w:bookmarkEnd w:id="6"/>
    <w:bookmarkEnd w:id="7"/>
    <w:bookmarkEnd w:id="8"/>
    <w:bookmarkEnd w:id="9"/>
    <w:bookmarkEnd w:id="10"/>
    <w:p>
      <w:pPr>
        <w:numPr>
          <w:ilvl w:val="0"/>
          <w:numId w:val="0"/>
        </w:numPr>
        <w:ind w:left="420" w:leftChars="0" w:firstLine="280" w:firstLineChars="100"/>
        <w:rPr>
          <w:rFonts w:hint="eastAsia" w:ascii="宋体" w:hAnsi="宋体" w:eastAsia="宋体" w:cs="Times New Roman"/>
          <w:b w:val="0"/>
          <w:bCs w:val="0"/>
          <w:color w:val="0C0C0C"/>
          <w:kern w:val="2"/>
          <w:sz w:val="28"/>
          <w:szCs w:val="28"/>
          <w:lang w:val="en-US" w:eastAsia="zh-CN" w:bidi="ar-SA"/>
        </w:rPr>
      </w:pPr>
      <w:r>
        <w:rPr>
          <w:rFonts w:hint="eastAsia" w:ascii="宋体" w:hAnsi="宋体" w:eastAsia="宋体" w:cs="Times New Roman"/>
          <w:b w:val="0"/>
          <w:bCs w:val="0"/>
          <w:color w:val="0C0C0C"/>
          <w:kern w:val="2"/>
          <w:sz w:val="28"/>
          <w:szCs w:val="28"/>
          <w:lang w:val="en-US" w:eastAsia="zh-CN" w:bidi="ar-SA"/>
        </w:rPr>
        <w:t>服务对象：大冶市行政事业单位。</w:t>
      </w:r>
    </w:p>
    <w:p>
      <w:pPr>
        <w:numPr>
          <w:ilvl w:val="0"/>
          <w:numId w:val="0"/>
        </w:numPr>
        <w:ind w:left="420" w:leftChars="0" w:firstLine="280" w:firstLineChars="100"/>
        <w:rPr>
          <w:rFonts w:hint="eastAsia" w:ascii="宋体" w:hAnsi="宋体" w:eastAsia="宋体" w:cs="Times New Roman"/>
          <w:b w:val="0"/>
          <w:bCs w:val="0"/>
          <w:color w:val="0C0C0C"/>
          <w:kern w:val="2"/>
          <w:sz w:val="28"/>
          <w:szCs w:val="28"/>
          <w:lang w:val="en-US" w:eastAsia="zh-CN" w:bidi="ar-SA"/>
        </w:rPr>
      </w:pPr>
      <w:r>
        <w:rPr>
          <w:rFonts w:hint="eastAsia" w:ascii="宋体" w:hAnsi="宋体" w:eastAsia="宋体" w:cs="Times New Roman"/>
          <w:b w:val="0"/>
          <w:bCs w:val="0"/>
          <w:color w:val="0C0C0C"/>
          <w:kern w:val="2"/>
          <w:sz w:val="28"/>
          <w:szCs w:val="28"/>
          <w:lang w:val="en-US" w:eastAsia="zh-CN" w:bidi="ar-SA"/>
        </w:rPr>
        <w:t>框架协议的期限：框架协议签订之日起至2025年12月31日止。</w:t>
      </w:r>
    </w:p>
    <w:p>
      <w:pPr>
        <w:numPr>
          <w:ilvl w:val="0"/>
          <w:numId w:val="0"/>
        </w:numPr>
        <w:ind w:left="420" w:leftChars="0" w:firstLine="280" w:firstLineChars="100"/>
        <w:rPr>
          <w:rFonts w:hint="eastAsia" w:ascii="宋体" w:hAnsi="宋体" w:eastAsia="宋体" w:cs="Times New Roman"/>
          <w:b w:val="0"/>
          <w:bCs w:val="0"/>
          <w:color w:val="0C0C0C"/>
          <w:kern w:val="2"/>
          <w:sz w:val="28"/>
          <w:szCs w:val="28"/>
          <w:lang w:val="en-US" w:eastAsia="zh-CN" w:bidi="ar-SA"/>
        </w:rPr>
      </w:pPr>
      <w:r>
        <w:rPr>
          <w:rFonts w:hint="eastAsia" w:ascii="宋体" w:hAnsi="宋体" w:eastAsia="宋体" w:cs="Times New Roman"/>
          <w:b w:val="0"/>
          <w:bCs w:val="0"/>
          <w:color w:val="0C0C0C"/>
          <w:kern w:val="2"/>
          <w:sz w:val="28"/>
          <w:szCs w:val="28"/>
          <w:lang w:val="en-US" w:eastAsia="zh-CN" w:bidi="ar-SA"/>
        </w:rPr>
        <w:t>采购内容：车辆保养及维修服务采购。</w:t>
      </w:r>
    </w:p>
    <w:p>
      <w:pPr>
        <w:pStyle w:val="5"/>
        <w:pageBreakBefore w:val="0"/>
        <w:widowControl w:val="0"/>
        <w:numPr>
          <w:ilvl w:val="0"/>
          <w:numId w:val="2"/>
        </w:numPr>
        <w:kinsoku/>
        <w:wordWrap/>
        <w:overflowPunct/>
        <w:topLinePunct w:val="0"/>
        <w:bidi w:val="0"/>
        <w:adjustRightInd/>
        <w:snapToGrid/>
        <w:spacing w:before="0" w:after="0" w:line="360" w:lineRule="auto"/>
        <w:ind w:left="616" w:hanging="616"/>
        <w:jc w:val="left"/>
        <w:textAlignment w:val="auto"/>
        <w:rPr>
          <w:rFonts w:hint="eastAsia" w:ascii="宋体" w:hAnsi="宋体" w:eastAsia="宋体" w:cs="宋体"/>
          <w:b/>
          <w:bCs w:val="0"/>
          <w:color w:val="auto"/>
          <w:sz w:val="28"/>
          <w:szCs w:val="28"/>
          <w:highlight w:val="none"/>
          <w:lang w:val="zh-CN" w:eastAsia="zh-CN"/>
        </w:rPr>
      </w:pPr>
      <w:bookmarkStart w:id="11" w:name="二、服务内容和服务要求"/>
      <w:bookmarkEnd w:id="11"/>
      <w:r>
        <w:rPr>
          <w:rFonts w:hint="eastAsia" w:ascii="宋体" w:hAnsi="宋体" w:eastAsia="宋体" w:cs="宋体"/>
          <w:b/>
          <w:bCs w:val="0"/>
          <w:color w:val="auto"/>
          <w:sz w:val="28"/>
          <w:szCs w:val="28"/>
          <w:highlight w:val="none"/>
          <w:lang w:val="zh-CN" w:eastAsia="zh-CN"/>
        </w:rPr>
        <w:t>服务内容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560" w:firstLineChars="200"/>
        <w:textAlignment w:val="auto"/>
        <w:rPr>
          <w:rFonts w:hint="eastAsia" w:ascii="宋体" w:hAnsi="宋体" w:eastAsia="宋体" w:cs="宋体"/>
          <w:color w:val="auto"/>
          <w:kern w:val="2"/>
          <w:sz w:val="28"/>
          <w:szCs w:val="28"/>
          <w:highlight w:val="none"/>
          <w:lang w:val="en-US" w:eastAsia="zh-CN" w:bidi="ar-SA"/>
        </w:rPr>
      </w:pPr>
      <w:r>
        <w:rPr>
          <w:rFonts w:hint="eastAsia" w:ascii="宋体" w:hAnsi="宋体" w:eastAsia="宋体" w:cs="Times New Roman"/>
          <w:b w:val="0"/>
          <w:bCs w:val="0"/>
          <w:color w:val="0C0C0C"/>
          <w:kern w:val="2"/>
          <w:sz w:val="28"/>
          <w:szCs w:val="28"/>
          <w:lang w:val="en-US" w:eastAsia="zh-CN" w:bidi="ar-SA"/>
        </w:rPr>
        <w:t>C23120301</w:t>
      </w:r>
      <w:r>
        <w:rPr>
          <w:rFonts w:hint="eastAsia" w:ascii="宋体" w:hAnsi="宋体" w:eastAsia="宋体" w:cs="宋体"/>
          <w:b w:val="0"/>
          <w:bCs w:val="0"/>
          <w:color w:val="auto"/>
          <w:sz w:val="28"/>
          <w:szCs w:val="28"/>
          <w:highlight w:val="none"/>
          <w:lang w:val="en-US" w:eastAsia="zh-CN"/>
        </w:rPr>
        <w:t>车辆维修和保养服务，</w:t>
      </w:r>
      <w:r>
        <w:rPr>
          <w:rFonts w:hint="eastAsia" w:ascii="宋体" w:hAnsi="宋体" w:eastAsia="宋体" w:cs="宋体"/>
          <w:color w:val="auto"/>
          <w:kern w:val="2"/>
          <w:sz w:val="28"/>
          <w:szCs w:val="28"/>
          <w:highlight w:val="none"/>
          <w:lang w:val="en-US" w:eastAsia="zh-CN" w:bidi="ar-SA"/>
        </w:rPr>
        <w:t>包括载货汽车、汽车挂车、乘用车等车辆的</w:t>
      </w:r>
      <w:r>
        <w:rPr>
          <w:rFonts w:hint="eastAsia" w:ascii="宋体" w:hAnsi="宋体" w:eastAsia="宋体" w:cs="宋体"/>
          <w:b w:val="0"/>
          <w:bCs w:val="0"/>
          <w:color w:val="auto"/>
          <w:sz w:val="28"/>
          <w:szCs w:val="28"/>
          <w:highlight w:val="none"/>
          <w:lang w:val="en-US" w:eastAsia="zh-CN"/>
        </w:rPr>
        <w:t>维修和保养服务</w:t>
      </w:r>
      <w:r>
        <w:rPr>
          <w:rFonts w:hint="eastAsia" w:ascii="宋体" w:hAnsi="宋体" w:eastAsia="宋体" w:cs="宋体"/>
          <w:color w:val="auto"/>
          <w:kern w:val="2"/>
          <w:sz w:val="28"/>
          <w:szCs w:val="28"/>
          <w:highlight w:val="none"/>
          <w:lang w:val="en-US" w:eastAsia="zh-CN" w:bidi="ar-SA"/>
        </w:rPr>
        <w:t>。</w:t>
      </w:r>
    </w:p>
    <w:p>
      <w:pPr>
        <w:pStyle w:val="5"/>
        <w:pageBreakBefore w:val="0"/>
        <w:widowControl w:val="0"/>
        <w:numPr>
          <w:ilvl w:val="0"/>
          <w:numId w:val="2"/>
        </w:numPr>
        <w:kinsoku/>
        <w:wordWrap/>
        <w:overflowPunct/>
        <w:topLinePunct w:val="0"/>
        <w:bidi w:val="0"/>
        <w:adjustRightInd/>
        <w:snapToGrid/>
        <w:spacing w:before="0" w:after="0" w:line="360" w:lineRule="auto"/>
        <w:ind w:left="616" w:hanging="616"/>
        <w:jc w:val="left"/>
        <w:textAlignment w:val="auto"/>
        <w:rPr>
          <w:rFonts w:hint="eastAsia" w:ascii="宋体" w:hAnsi="宋体" w:eastAsia="宋体" w:cs="宋体"/>
          <w:bCs w:val="0"/>
          <w:color w:val="auto"/>
          <w:sz w:val="28"/>
          <w:szCs w:val="28"/>
          <w:highlight w:val="none"/>
          <w:lang w:val="zh-CN" w:eastAsia="zh-CN"/>
        </w:rPr>
      </w:pPr>
      <w:bookmarkStart w:id="12" w:name="_Toc26188"/>
      <w:bookmarkStart w:id="13" w:name="_Toc16425"/>
      <w:r>
        <w:rPr>
          <w:rFonts w:hint="eastAsia" w:ascii="宋体" w:hAnsi="宋体" w:eastAsia="宋体" w:cs="宋体"/>
          <w:bCs w:val="0"/>
          <w:color w:val="auto"/>
          <w:sz w:val="28"/>
          <w:szCs w:val="28"/>
          <w:highlight w:val="none"/>
          <w:lang w:val="zh-CN" w:eastAsia="zh-CN"/>
        </w:rPr>
        <w:t>技术、服务要求</w:t>
      </w:r>
      <w:bookmarkEnd w:id="12"/>
      <w:bookmarkEnd w:id="13"/>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560" w:firstLineChars="200"/>
        <w:textAlignment w:val="auto"/>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所采用的零部件、零配件等材料符合国家标准，不使用假冒伪劣产品或以次充好，以旧顶新。维修时，重在修理，以节省支出；确需更换零配件时，使用合格产品或正品。</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560" w:firstLineChars="200"/>
        <w:textAlignment w:val="auto"/>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对市直各级单位的维修车辆，提供如下服务：</w:t>
      </w:r>
    </w:p>
    <w:p>
      <w:pPr>
        <w:keepNext w:val="0"/>
        <w:keepLines w:val="0"/>
        <w:pageBreakBefore w:val="0"/>
        <w:widowControl w:val="0"/>
        <w:numPr>
          <w:ilvl w:val="0"/>
          <w:numId w:val="4"/>
        </w:numPr>
        <w:tabs>
          <w:tab w:val="left" w:pos="0"/>
        </w:tabs>
        <w:kinsoku/>
        <w:wordWrap/>
        <w:overflowPunct/>
        <w:topLinePunct w:val="0"/>
        <w:autoSpaceDE/>
        <w:autoSpaceDN/>
        <w:bidi w:val="0"/>
        <w:adjustRightInd/>
        <w:snapToGrid/>
        <w:spacing w:line="360" w:lineRule="auto"/>
        <w:ind w:left="0" w:leftChars="0" w:firstLine="425" w:firstLineChars="0"/>
        <w:textAlignment w:val="auto"/>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全年每天24小时维修服务，设立应急电话，实行24小时专人值班制度，值班电话：</w:t>
      </w:r>
      <w:r>
        <w:rPr>
          <w:rFonts w:hint="eastAsia" w:ascii="宋体" w:hAnsi="宋体" w:eastAsia="宋体" w:cs="宋体"/>
          <w:color w:val="auto"/>
          <w:kern w:val="0"/>
          <w:sz w:val="28"/>
          <w:szCs w:val="28"/>
          <w:highlight w:val="none"/>
          <w:u w:val="single"/>
        </w:rPr>
        <w:t xml:space="preserve">    </w:t>
      </w:r>
      <w:r>
        <w:rPr>
          <w:rFonts w:hint="eastAsia" w:ascii="宋体" w:hAnsi="宋体" w:eastAsia="宋体" w:cs="宋体"/>
          <w:color w:val="auto"/>
          <w:kern w:val="0"/>
          <w:sz w:val="28"/>
          <w:szCs w:val="28"/>
          <w:highlight w:val="none"/>
        </w:rPr>
        <w:t>（座机/手机）；</w:t>
      </w:r>
    </w:p>
    <w:p>
      <w:pPr>
        <w:keepNext w:val="0"/>
        <w:keepLines w:val="0"/>
        <w:pageBreakBefore w:val="0"/>
        <w:widowControl w:val="0"/>
        <w:numPr>
          <w:ilvl w:val="0"/>
          <w:numId w:val="4"/>
        </w:numPr>
        <w:tabs>
          <w:tab w:val="left" w:pos="0"/>
        </w:tabs>
        <w:kinsoku/>
        <w:wordWrap/>
        <w:overflowPunct/>
        <w:topLinePunct w:val="0"/>
        <w:autoSpaceDE/>
        <w:autoSpaceDN/>
        <w:bidi w:val="0"/>
        <w:adjustRightInd/>
        <w:snapToGrid/>
        <w:spacing w:line="360" w:lineRule="auto"/>
        <w:ind w:left="0" w:leftChars="0" w:firstLine="425" w:firstLineChars="0"/>
        <w:textAlignment w:val="auto"/>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二十四小时</w:t>
      </w:r>
      <w:r>
        <w:rPr>
          <w:rFonts w:hint="eastAsia" w:ascii="宋体" w:hAnsi="宋体" w:eastAsia="宋体" w:cs="宋体"/>
          <w:color w:val="auto"/>
          <w:kern w:val="0"/>
          <w:sz w:val="28"/>
          <w:szCs w:val="28"/>
          <w:highlight w:val="none"/>
          <w:lang w:val="en-US" w:eastAsia="zh-CN"/>
        </w:rPr>
        <w:t>在线</w:t>
      </w:r>
      <w:r>
        <w:rPr>
          <w:rFonts w:hint="eastAsia" w:ascii="宋体" w:hAnsi="宋体" w:eastAsia="宋体" w:cs="宋体"/>
          <w:color w:val="auto"/>
          <w:kern w:val="0"/>
          <w:sz w:val="28"/>
          <w:szCs w:val="28"/>
          <w:highlight w:val="none"/>
        </w:rPr>
        <w:t>且一小时内到达现场的紧急救援（含节假日）；</w:t>
      </w:r>
    </w:p>
    <w:p>
      <w:pPr>
        <w:keepNext w:val="0"/>
        <w:keepLines w:val="0"/>
        <w:pageBreakBefore w:val="0"/>
        <w:widowControl w:val="0"/>
        <w:numPr>
          <w:ilvl w:val="0"/>
          <w:numId w:val="4"/>
        </w:numPr>
        <w:tabs>
          <w:tab w:val="left" w:pos="0"/>
        </w:tabs>
        <w:kinsoku/>
        <w:wordWrap/>
        <w:overflowPunct/>
        <w:topLinePunct w:val="0"/>
        <w:autoSpaceDE/>
        <w:autoSpaceDN/>
        <w:bidi w:val="0"/>
        <w:adjustRightInd/>
        <w:snapToGrid/>
        <w:spacing w:line="360" w:lineRule="auto"/>
        <w:ind w:left="0" w:leftChars="0" w:firstLine="425" w:firstLineChars="0"/>
        <w:textAlignment w:val="auto"/>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应客户要求提供上门接送车服务；</w:t>
      </w:r>
    </w:p>
    <w:p>
      <w:pPr>
        <w:keepNext w:val="0"/>
        <w:keepLines w:val="0"/>
        <w:pageBreakBefore w:val="0"/>
        <w:widowControl w:val="0"/>
        <w:numPr>
          <w:ilvl w:val="0"/>
          <w:numId w:val="4"/>
        </w:numPr>
        <w:tabs>
          <w:tab w:val="left" w:pos="0"/>
        </w:tabs>
        <w:kinsoku/>
        <w:wordWrap/>
        <w:overflowPunct/>
        <w:topLinePunct w:val="0"/>
        <w:autoSpaceDE/>
        <w:autoSpaceDN/>
        <w:bidi w:val="0"/>
        <w:adjustRightInd/>
        <w:snapToGrid/>
        <w:spacing w:line="360" w:lineRule="auto"/>
        <w:ind w:left="0" w:leftChars="0" w:firstLine="425" w:firstLineChars="0"/>
        <w:textAlignment w:val="auto"/>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代送修单位提供年检服务；</w:t>
      </w:r>
    </w:p>
    <w:p>
      <w:pPr>
        <w:keepNext w:val="0"/>
        <w:keepLines w:val="0"/>
        <w:pageBreakBefore w:val="0"/>
        <w:widowControl w:val="0"/>
        <w:numPr>
          <w:ilvl w:val="0"/>
          <w:numId w:val="4"/>
        </w:numPr>
        <w:tabs>
          <w:tab w:val="left" w:pos="0"/>
        </w:tabs>
        <w:kinsoku/>
        <w:wordWrap/>
        <w:overflowPunct/>
        <w:topLinePunct w:val="0"/>
        <w:autoSpaceDE/>
        <w:autoSpaceDN/>
        <w:bidi w:val="0"/>
        <w:adjustRightInd/>
        <w:snapToGrid/>
        <w:spacing w:line="360" w:lineRule="auto"/>
        <w:ind w:left="0" w:leftChars="0" w:firstLine="425" w:firstLineChars="0"/>
        <w:textAlignment w:val="auto"/>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建立车辆详细维修档案，进行日常维保的技术咨询及培训；</w:t>
      </w:r>
    </w:p>
    <w:p>
      <w:pPr>
        <w:keepNext w:val="0"/>
        <w:keepLines w:val="0"/>
        <w:pageBreakBefore w:val="0"/>
        <w:widowControl w:val="0"/>
        <w:numPr>
          <w:ilvl w:val="0"/>
          <w:numId w:val="4"/>
        </w:numPr>
        <w:tabs>
          <w:tab w:val="left" w:pos="0"/>
        </w:tabs>
        <w:kinsoku/>
        <w:wordWrap/>
        <w:overflowPunct/>
        <w:topLinePunct w:val="0"/>
        <w:autoSpaceDE/>
        <w:autoSpaceDN/>
        <w:bidi w:val="0"/>
        <w:adjustRightInd/>
        <w:snapToGrid/>
        <w:spacing w:line="360" w:lineRule="auto"/>
        <w:ind w:left="0" w:leftChars="0" w:firstLine="425" w:firstLineChars="0"/>
        <w:textAlignment w:val="auto"/>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为完工出厂车辆提供清洁、吸尘服务；</w:t>
      </w:r>
    </w:p>
    <w:p>
      <w:pPr>
        <w:keepNext w:val="0"/>
        <w:keepLines w:val="0"/>
        <w:pageBreakBefore w:val="0"/>
        <w:widowControl w:val="0"/>
        <w:numPr>
          <w:ilvl w:val="0"/>
          <w:numId w:val="4"/>
        </w:numPr>
        <w:tabs>
          <w:tab w:val="left" w:pos="0"/>
        </w:tabs>
        <w:kinsoku/>
        <w:wordWrap/>
        <w:overflowPunct/>
        <w:topLinePunct w:val="0"/>
        <w:autoSpaceDE/>
        <w:autoSpaceDN/>
        <w:bidi w:val="0"/>
        <w:adjustRightInd/>
        <w:snapToGrid/>
        <w:spacing w:line="360" w:lineRule="auto"/>
        <w:ind w:left="0" w:leftChars="0" w:firstLine="425" w:firstLineChars="0"/>
        <w:textAlignment w:val="auto"/>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设立市直各级单位汽车维修服务专柜和专人，及时做好维修车辆的接待和交送车服务。</w:t>
      </w:r>
    </w:p>
    <w:p>
      <w:pPr>
        <w:keepNext w:val="0"/>
        <w:keepLines w:val="0"/>
        <w:pageBreakBefore w:val="0"/>
        <w:widowControl w:val="0"/>
        <w:numPr>
          <w:ilvl w:val="0"/>
          <w:numId w:val="4"/>
        </w:numPr>
        <w:tabs>
          <w:tab w:val="left" w:pos="0"/>
        </w:tabs>
        <w:kinsoku/>
        <w:wordWrap/>
        <w:overflowPunct/>
        <w:topLinePunct w:val="0"/>
        <w:autoSpaceDE/>
        <w:autoSpaceDN/>
        <w:bidi w:val="0"/>
        <w:adjustRightInd/>
        <w:snapToGrid/>
        <w:spacing w:line="360" w:lineRule="auto"/>
        <w:ind w:left="0" w:leftChars="0" w:firstLine="425" w:firstLineChars="0"/>
        <w:textAlignment w:val="auto"/>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除此之外，按照</w:t>
      </w:r>
      <w:r>
        <w:rPr>
          <w:rFonts w:hint="eastAsia" w:ascii="宋体" w:hAnsi="宋体" w:eastAsia="宋体" w:cs="宋体"/>
          <w:color w:val="auto"/>
          <w:kern w:val="0"/>
          <w:sz w:val="28"/>
          <w:szCs w:val="28"/>
          <w:highlight w:val="none"/>
          <w:lang w:eastAsia="zh-CN"/>
        </w:rPr>
        <w:t>响应</w:t>
      </w:r>
      <w:r>
        <w:rPr>
          <w:rFonts w:hint="eastAsia" w:ascii="宋体" w:hAnsi="宋体" w:eastAsia="宋体" w:cs="宋体"/>
          <w:color w:val="auto"/>
          <w:kern w:val="0"/>
          <w:sz w:val="28"/>
          <w:szCs w:val="28"/>
          <w:highlight w:val="none"/>
        </w:rPr>
        <w:t>文件响应和承诺内容提供相应服务。</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560" w:firstLineChars="200"/>
        <w:textAlignment w:val="auto"/>
        <w:rPr>
          <w:rFonts w:hint="eastAsia" w:ascii="宋体" w:hAnsi="宋体" w:eastAsia="宋体" w:cs="宋体"/>
          <w:color w:val="auto"/>
          <w:kern w:val="0"/>
          <w:sz w:val="28"/>
          <w:szCs w:val="28"/>
          <w:highlight w:val="none"/>
        </w:rPr>
      </w:pPr>
      <w:r>
        <w:rPr>
          <w:rFonts w:hint="eastAsia" w:ascii="宋体" w:hAnsi="宋体" w:eastAsia="宋体" w:cs="Times New Roman"/>
          <w:b w:val="0"/>
          <w:bCs w:val="0"/>
          <w:color w:val="0C0C0C"/>
          <w:kern w:val="2"/>
          <w:sz w:val="28"/>
          <w:szCs w:val="28"/>
          <w:lang w:val="en-US" w:eastAsia="zh-CN" w:bidi="ar-SA"/>
        </w:rPr>
        <w:t>★</w:t>
      </w:r>
      <w:r>
        <w:rPr>
          <w:rFonts w:hint="eastAsia" w:ascii="宋体" w:hAnsi="宋体" w:eastAsia="宋体" w:cs="宋体"/>
          <w:color w:val="auto"/>
          <w:kern w:val="0"/>
          <w:sz w:val="28"/>
          <w:szCs w:val="28"/>
          <w:highlight w:val="none"/>
        </w:rPr>
        <w:t>集中技术骨干力量，成立市直各级单位汽车维修小组，为市直各级单位汽车维修提供及时维修服务；车辆维修质量及质量保修期保证不低于国家及</w:t>
      </w:r>
      <w:r>
        <w:rPr>
          <w:rFonts w:hint="eastAsia" w:ascii="宋体" w:hAnsi="宋体" w:eastAsia="宋体" w:cs="宋体"/>
          <w:color w:val="auto"/>
          <w:kern w:val="0"/>
          <w:sz w:val="28"/>
          <w:szCs w:val="28"/>
          <w:highlight w:val="none"/>
          <w:lang w:eastAsia="zh-CN"/>
        </w:rPr>
        <w:t>大冶</w:t>
      </w:r>
      <w:r>
        <w:rPr>
          <w:rFonts w:hint="eastAsia" w:ascii="宋体" w:hAnsi="宋体" w:eastAsia="宋体" w:cs="宋体"/>
          <w:color w:val="auto"/>
          <w:kern w:val="0"/>
          <w:sz w:val="28"/>
          <w:szCs w:val="28"/>
          <w:highlight w:val="none"/>
        </w:rPr>
        <w:t>市行业相关标准。车辆小修、保养当天完成，若修车单位有完工时间要求时尽最大限度满足。</w:t>
      </w:r>
      <w:r>
        <w:rPr>
          <w:rFonts w:hint="eastAsia" w:ascii="宋体" w:hAnsi="宋体" w:eastAsia="宋体" w:cs="宋体"/>
          <w:color w:val="auto"/>
          <w:kern w:val="0"/>
          <w:sz w:val="28"/>
          <w:szCs w:val="28"/>
          <w:highlight w:val="none"/>
          <w:lang w:eastAsia="zh-CN"/>
        </w:rPr>
        <w:t>（提供完整的实施方案）</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560" w:firstLineChars="200"/>
        <w:textAlignment w:val="auto"/>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汽车维修完工出厂实行出厂合格证制度（汽车小修和部分专项修理除外），维修质量不合格的车辆不准出厂。汽车维修完工出厂时按完工出厂技术要求进行检查和检测。对维修竣工出厂车辆出现的质量问题或与合同约定的项目不符的问题进行无偿返工。因</w:t>
      </w:r>
      <w:r>
        <w:rPr>
          <w:rFonts w:hint="eastAsia" w:ascii="宋体" w:hAnsi="宋体" w:eastAsia="宋体" w:cs="宋体"/>
          <w:color w:val="auto"/>
          <w:kern w:val="0"/>
          <w:sz w:val="28"/>
          <w:szCs w:val="28"/>
          <w:highlight w:val="none"/>
          <w:lang w:eastAsia="zh-CN"/>
        </w:rPr>
        <w:t>供应商</w:t>
      </w:r>
      <w:r>
        <w:rPr>
          <w:rFonts w:hint="eastAsia" w:ascii="宋体" w:hAnsi="宋体" w:eastAsia="宋体" w:cs="宋体"/>
          <w:color w:val="auto"/>
          <w:kern w:val="0"/>
          <w:sz w:val="28"/>
          <w:szCs w:val="28"/>
          <w:highlight w:val="none"/>
        </w:rPr>
        <w:t>违反合同给修车单位造成损失时，给予经济赔偿。</w:t>
      </w:r>
      <w:r>
        <w:rPr>
          <w:rFonts w:hint="eastAsia" w:ascii="宋体" w:hAnsi="宋体" w:eastAsia="宋体" w:cs="宋体"/>
          <w:color w:val="auto"/>
          <w:kern w:val="0"/>
          <w:sz w:val="28"/>
          <w:szCs w:val="28"/>
          <w:highlight w:val="none"/>
          <w:lang w:eastAsia="zh-CN"/>
        </w:rPr>
        <w:t>（提供相关证明材料）</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560" w:firstLineChars="200"/>
        <w:textAlignment w:val="auto"/>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保证以经道路运输管理机构批准的维修方式和形式（如上门抢修）对公务车辆维修均统一执行其面向集团客户的最优惠价格和最完善的服务、质量标准。如由</w:t>
      </w:r>
      <w:r>
        <w:rPr>
          <w:rFonts w:hint="eastAsia" w:ascii="宋体" w:hAnsi="宋体" w:eastAsia="宋体" w:cs="宋体"/>
          <w:color w:val="auto"/>
          <w:kern w:val="0"/>
          <w:sz w:val="28"/>
          <w:szCs w:val="28"/>
          <w:highlight w:val="none"/>
          <w:lang w:eastAsia="zh-CN"/>
        </w:rPr>
        <w:t>供应商</w:t>
      </w:r>
      <w:r>
        <w:rPr>
          <w:rFonts w:hint="eastAsia" w:ascii="宋体" w:hAnsi="宋体" w:eastAsia="宋体" w:cs="宋体"/>
          <w:color w:val="auto"/>
          <w:kern w:val="0"/>
          <w:sz w:val="28"/>
          <w:szCs w:val="28"/>
          <w:highlight w:val="none"/>
        </w:rPr>
        <w:t>引起的一切服务纠纷、质量责任均由</w:t>
      </w:r>
      <w:r>
        <w:rPr>
          <w:rFonts w:hint="eastAsia" w:ascii="宋体" w:hAnsi="宋体" w:eastAsia="宋体" w:cs="宋体"/>
          <w:color w:val="auto"/>
          <w:kern w:val="0"/>
          <w:sz w:val="28"/>
          <w:szCs w:val="28"/>
          <w:highlight w:val="none"/>
          <w:lang w:eastAsia="zh-CN"/>
        </w:rPr>
        <w:t>供应商</w:t>
      </w:r>
      <w:r>
        <w:rPr>
          <w:rFonts w:hint="eastAsia" w:ascii="宋体" w:hAnsi="宋体" w:eastAsia="宋体" w:cs="宋体"/>
          <w:color w:val="auto"/>
          <w:kern w:val="0"/>
          <w:sz w:val="28"/>
          <w:szCs w:val="28"/>
          <w:highlight w:val="none"/>
        </w:rPr>
        <w:t>负责。</w:t>
      </w:r>
      <w:r>
        <w:rPr>
          <w:rFonts w:hint="eastAsia" w:ascii="宋体" w:hAnsi="宋体" w:eastAsia="宋体" w:cs="宋体"/>
          <w:color w:val="auto"/>
          <w:sz w:val="28"/>
          <w:szCs w:val="28"/>
          <w:highlight w:val="none"/>
          <w:lang w:val="zh-CN" w:eastAsia="zh-CN"/>
        </w:rPr>
        <w:t>（提供承诺函）</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560" w:firstLineChars="200"/>
        <w:textAlignment w:val="auto"/>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接受市直各行政事业单位对生产、管理情况和车辆维修质量进行监督和检查，对发现和修车单位投诉的问题进行调查和处理。</w:t>
      </w:r>
      <w:r>
        <w:rPr>
          <w:rFonts w:hint="eastAsia" w:ascii="宋体" w:hAnsi="宋体" w:eastAsia="宋体" w:cs="宋体"/>
          <w:color w:val="auto"/>
          <w:sz w:val="28"/>
          <w:szCs w:val="28"/>
          <w:highlight w:val="none"/>
          <w:lang w:val="zh-CN" w:eastAsia="zh-CN"/>
        </w:rPr>
        <w:t>（提供承诺函）</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560" w:firstLineChars="200"/>
        <w:textAlignment w:val="auto"/>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保证公务维修车辆在修理期间的安全，做到不丢失、不损坏，否则承担全部损失。</w:t>
      </w:r>
      <w:r>
        <w:rPr>
          <w:rFonts w:hint="eastAsia" w:ascii="宋体" w:hAnsi="宋体" w:eastAsia="宋体" w:cs="宋体"/>
          <w:color w:val="auto"/>
          <w:sz w:val="28"/>
          <w:szCs w:val="28"/>
          <w:highlight w:val="none"/>
          <w:lang w:val="zh-CN" w:eastAsia="zh-CN"/>
        </w:rPr>
        <w:t>（提供承诺函）</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560" w:firstLineChars="200"/>
        <w:textAlignment w:val="auto"/>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设立投诉制度，认真听取送修单位意见，并及时做出修正。</w:t>
      </w:r>
      <w:r>
        <w:rPr>
          <w:rFonts w:hint="eastAsia" w:ascii="宋体" w:hAnsi="宋体" w:eastAsia="宋体" w:cs="宋体"/>
          <w:color w:val="auto"/>
          <w:kern w:val="0"/>
          <w:sz w:val="28"/>
          <w:szCs w:val="28"/>
          <w:highlight w:val="none"/>
          <w:lang w:eastAsia="zh-CN"/>
        </w:rPr>
        <w:t>（提供相关证明材料）</w:t>
      </w:r>
    </w:p>
    <w:p>
      <w:pPr>
        <w:pStyle w:val="5"/>
        <w:pageBreakBefore w:val="0"/>
        <w:widowControl w:val="0"/>
        <w:numPr>
          <w:ilvl w:val="0"/>
          <w:numId w:val="2"/>
        </w:numPr>
        <w:kinsoku/>
        <w:wordWrap/>
        <w:overflowPunct/>
        <w:topLinePunct w:val="0"/>
        <w:bidi w:val="0"/>
        <w:adjustRightInd/>
        <w:snapToGrid/>
        <w:spacing w:before="0" w:after="0" w:line="360" w:lineRule="auto"/>
        <w:ind w:left="616" w:hanging="616"/>
        <w:jc w:val="left"/>
        <w:textAlignment w:val="auto"/>
        <w:rPr>
          <w:rFonts w:hint="eastAsia" w:ascii="宋体" w:hAnsi="宋体" w:eastAsia="宋体" w:cs="宋体"/>
          <w:b/>
          <w:bCs w:val="0"/>
          <w:color w:val="auto"/>
          <w:sz w:val="28"/>
          <w:szCs w:val="28"/>
          <w:highlight w:val="none"/>
          <w:lang w:val="zh-CN" w:eastAsia="zh-CN"/>
        </w:rPr>
      </w:pPr>
      <w:bookmarkStart w:id="14" w:name="_Toc17383"/>
      <w:r>
        <w:rPr>
          <w:rFonts w:hint="eastAsia" w:ascii="宋体" w:hAnsi="宋体" w:eastAsia="宋体" w:cs="宋体"/>
          <w:b/>
          <w:bCs w:val="0"/>
          <w:color w:val="auto"/>
          <w:sz w:val="28"/>
          <w:szCs w:val="28"/>
          <w:highlight w:val="none"/>
          <w:lang w:val="en-US" w:eastAsia="zh-CN"/>
        </w:rPr>
        <w:t>商务要求</w:t>
      </w:r>
      <w:bookmarkEnd w:id="14"/>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right="0" w:firstLine="400" w:firstLineChars="0"/>
        <w:jc w:val="left"/>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报价要求：材料费加价率的最高限价为20%。</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right="0" w:firstLine="400" w:firstLineChars="0"/>
        <w:jc w:val="left"/>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合同履行期限：自封闭式框架协议签订之日起至2025年12月31日。</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right="0" w:firstLine="400" w:firstLineChars="0"/>
        <w:jc w:val="left"/>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供应商入围后需入驻大冶市政府采购电子商城。</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right="0" w:firstLine="400" w:firstLineChars="0"/>
        <w:jc w:val="left"/>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拟派服务人员中，具备机动车机电维修相关资格证书。</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right="0" w:firstLine="400" w:firstLineChars="0"/>
        <w:jc w:val="left"/>
        <w:textAlignment w:val="auto"/>
        <w:rPr>
          <w:rFonts w:hint="eastAsia" w:ascii="宋体" w:hAnsi="宋体" w:eastAsia="宋体" w:cs="宋体"/>
          <w:color w:val="auto"/>
          <w:sz w:val="28"/>
          <w:szCs w:val="28"/>
          <w:highlight w:val="none"/>
          <w:lang w:val="zh-CN" w:eastAsia="zh-CN"/>
        </w:rPr>
      </w:pPr>
      <w:r>
        <w:rPr>
          <w:rFonts w:hint="eastAsia" w:ascii="宋体" w:hAnsi="宋体" w:eastAsia="宋体" w:cs="宋体"/>
          <w:color w:val="auto"/>
          <w:sz w:val="28"/>
          <w:szCs w:val="28"/>
          <w:highlight w:val="none"/>
          <w:lang w:val="zh-CN" w:eastAsia="zh-CN"/>
        </w:rPr>
        <w:t>供应商入围后，在框架协议有效期内需服从征集人的管理要求，入围供应商须严格履行服务承诺，框架协议有效期内，征集人对成交供应商服务价格、服务质量及履约情况等进行监督，并依据相关管理办法进行处理。（提供承诺函）</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00" w:firstLineChars="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质保期要求：整车修理或总成修理质量保证期为车辆行驶20000公里或者1年；二级维护质量保证期为车辆行驶5000公里或者1年；一级维护、小修及专项修理质量保证期为车辆行驶2000公里或者1 年。（提供承诺函）</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00" w:firstLineChars="0"/>
        <w:textAlignment w:val="auto"/>
        <w:rPr>
          <w:rFonts w:hint="eastAsia" w:ascii="宋体" w:hAnsi="宋体" w:eastAsia="宋体" w:cs="宋体"/>
          <w:color w:val="auto"/>
          <w:sz w:val="28"/>
          <w:szCs w:val="28"/>
          <w:highlight w:val="none"/>
          <w:lang w:val="en-US" w:eastAsia="zh-CN"/>
        </w:rPr>
      </w:pPr>
      <w:r>
        <w:rPr>
          <w:rFonts w:hint="eastAsia" w:ascii="宋体" w:hAnsi="宋体" w:eastAsia="宋体" w:cs="Times New Roman"/>
          <w:b w:val="0"/>
          <w:bCs w:val="0"/>
          <w:color w:val="0C0C0C"/>
          <w:kern w:val="2"/>
          <w:sz w:val="28"/>
          <w:szCs w:val="28"/>
          <w:lang w:val="en-US" w:eastAsia="zh-CN" w:bidi="ar-SA"/>
        </w:rPr>
        <w:t>★</w:t>
      </w:r>
      <w:r>
        <w:rPr>
          <w:rFonts w:hint="eastAsia" w:ascii="宋体" w:hAnsi="宋体" w:eastAsia="宋体" w:cs="宋体"/>
          <w:color w:val="auto"/>
          <w:sz w:val="28"/>
          <w:szCs w:val="28"/>
          <w:highlight w:val="none"/>
          <w:lang w:val="en-US" w:eastAsia="zh-CN"/>
        </w:rPr>
        <w:t>供应商应在响应文件中提供经营场地（含接待室、停车场、生产厂房）简介（包括但不限于地理位置、结构分布、面积、设施、实景图片等）。（提供相关证明材料）</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00" w:firstLineChars="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服务能力及保障</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1）节假日提供不间断维修服务的，提供承诺函及服务保障方案。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2）具备新能源汽车及摩托车维修能力的，在响应文件中承诺。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3）承诺提供上门检测服务、简易维修上门维修且不另外收费的，提供承诺函。</w:t>
      </w:r>
    </w:p>
    <w:p>
      <w:pPr>
        <w:pStyle w:val="3"/>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Times New Roman"/>
          <w:b w:val="0"/>
          <w:bCs w:val="0"/>
          <w:color w:val="0C0C0C"/>
          <w:kern w:val="2"/>
          <w:sz w:val="28"/>
          <w:szCs w:val="28"/>
          <w:lang w:val="en-US" w:eastAsia="zh-CN" w:bidi="ar-SA"/>
        </w:rPr>
      </w:pPr>
      <w:r>
        <w:rPr>
          <w:rFonts w:hint="eastAsia" w:ascii="宋体" w:hAnsi="宋体" w:eastAsia="宋体" w:cs="Times New Roman"/>
          <w:b w:val="0"/>
          <w:bCs/>
          <w:kern w:val="2"/>
          <w:sz w:val="24"/>
          <w:szCs w:val="20"/>
          <w:lang w:val="en-US" w:eastAsia="zh-CN" w:bidi="ar-SA"/>
        </w:rPr>
        <w:t xml:space="preserve"> </w:t>
      </w:r>
      <w:r>
        <w:rPr>
          <w:rFonts w:hint="eastAsia" w:ascii="宋体" w:hAnsi="宋体" w:eastAsia="宋体" w:cs="Times New Roman"/>
          <w:b w:val="0"/>
          <w:bCs w:val="0"/>
          <w:color w:val="0C0C0C"/>
          <w:kern w:val="2"/>
          <w:sz w:val="28"/>
          <w:szCs w:val="28"/>
          <w:lang w:val="en-US" w:eastAsia="zh-CN" w:bidi="ar-SA"/>
        </w:rPr>
        <w:t>征集文件中“★”标注的技术、服务及商务要求，应满足或优于，否则其投标按照无效投标处理。</w:t>
      </w:r>
    </w:p>
    <w:p>
      <w:pPr>
        <w:numPr>
          <w:ilvl w:val="0"/>
          <w:numId w:val="0"/>
        </w:numPr>
        <w:ind w:leftChars="0"/>
        <w:rPr>
          <w:rFonts w:hint="eastAsia" w:ascii="宋体" w:hAnsi="宋体" w:cs="宋体"/>
          <w:sz w:val="24"/>
          <w:szCs w:val="24"/>
        </w:rPr>
      </w:pPr>
      <w:r>
        <w:rPr>
          <w:rFonts w:hint="eastAsia" w:ascii="仿宋" w:hAnsi="仿宋" w:eastAsia="仿宋"/>
          <w:sz w:val="24"/>
          <w:szCs w:val="24"/>
        </w:rPr>
        <w:t>附表1：资格审查表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2"/>
        <w:gridCol w:w="1261"/>
        <w:gridCol w:w="4417"/>
        <w:gridCol w:w="3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2" w:type="dxa"/>
            <w:noWrap w:val="0"/>
            <w:vAlign w:val="center"/>
          </w:tcPr>
          <w:p>
            <w:pPr>
              <w:numPr>
                <w:ilvl w:val="0"/>
                <w:numId w:val="0"/>
              </w:numPr>
              <w:tabs>
                <w:tab w:val="left" w:pos="742"/>
              </w:tabs>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序号</w:t>
            </w:r>
          </w:p>
        </w:tc>
        <w:tc>
          <w:tcPr>
            <w:tcW w:w="5678" w:type="dxa"/>
            <w:gridSpan w:val="2"/>
            <w:noWrap w:val="0"/>
            <w:vAlign w:val="center"/>
          </w:tcPr>
          <w:p>
            <w:pPr>
              <w:numPr>
                <w:ilvl w:val="0"/>
                <w:numId w:val="0"/>
              </w:numPr>
              <w:tabs>
                <w:tab w:val="left" w:pos="742"/>
              </w:tabs>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资格要求</w:t>
            </w:r>
          </w:p>
        </w:tc>
        <w:tc>
          <w:tcPr>
            <w:tcW w:w="3340" w:type="dxa"/>
            <w:noWrap w:val="0"/>
            <w:vAlign w:val="center"/>
          </w:tcPr>
          <w:p>
            <w:pPr>
              <w:numPr>
                <w:ilvl w:val="0"/>
                <w:numId w:val="0"/>
              </w:numPr>
              <w:tabs>
                <w:tab w:val="left" w:pos="742"/>
              </w:tabs>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须提供的资料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2" w:type="dxa"/>
            <w:vMerge w:val="restart"/>
            <w:noWrap w:val="0"/>
            <w:vAlign w:val="center"/>
          </w:tcPr>
          <w:p>
            <w:pPr>
              <w:numPr>
                <w:ilvl w:val="0"/>
                <w:numId w:val="6"/>
              </w:numPr>
              <w:tabs>
                <w:tab w:val="left" w:pos="742"/>
              </w:tabs>
              <w:ind w:left="425" w:leftChars="0" w:hanging="425" w:firstLineChars="0"/>
              <w:jc w:val="center"/>
              <w:rPr>
                <w:rFonts w:hint="eastAsia" w:ascii="仿宋" w:hAnsi="仿宋" w:eastAsia="仿宋" w:cs="仿宋"/>
                <w:sz w:val="24"/>
                <w:szCs w:val="24"/>
                <w:vertAlign w:val="baseline"/>
                <w:lang w:val="en-US" w:eastAsia="zh-CN"/>
              </w:rPr>
            </w:pPr>
          </w:p>
        </w:tc>
        <w:tc>
          <w:tcPr>
            <w:tcW w:w="1261" w:type="dxa"/>
            <w:vMerge w:val="restart"/>
            <w:noWrap w:val="0"/>
            <w:vAlign w:val="center"/>
          </w:tcPr>
          <w:p>
            <w:pPr>
              <w:spacing w:beforeLines="0" w:afterLines="0" w:line="240" w:lineRule="auto"/>
              <w:jc w:val="both"/>
              <w:rPr>
                <w:rFonts w:hint="eastAsia" w:ascii="仿宋" w:hAnsi="仿宋" w:eastAsia="仿宋" w:cs="仿宋"/>
                <w:sz w:val="24"/>
                <w:szCs w:val="24"/>
                <w:vertAlign w:val="baseline"/>
                <w:lang w:val="zh-CN"/>
              </w:rPr>
            </w:pPr>
            <w:r>
              <w:rPr>
                <w:rFonts w:hint="eastAsia" w:ascii="仿宋" w:hAnsi="仿宋" w:eastAsia="仿宋" w:cs="仿宋"/>
                <w:sz w:val="24"/>
                <w:szCs w:val="24"/>
              </w:rPr>
              <w:t>《中华人民共和国政府采购法》第二十二条规定</w:t>
            </w:r>
          </w:p>
        </w:tc>
        <w:tc>
          <w:tcPr>
            <w:tcW w:w="4417" w:type="dxa"/>
            <w:noWrap w:val="0"/>
            <w:vAlign w:val="center"/>
          </w:tcPr>
          <w:p>
            <w:pPr>
              <w:numPr>
                <w:ilvl w:val="0"/>
                <w:numId w:val="0"/>
              </w:numPr>
              <w:tabs>
                <w:tab w:val="left" w:pos="742"/>
              </w:tabs>
              <w:spacing w:line="240" w:lineRule="auto"/>
              <w:jc w:val="both"/>
              <w:rPr>
                <w:rFonts w:hint="eastAsia" w:ascii="仿宋" w:hAnsi="仿宋" w:eastAsia="仿宋" w:cs="仿宋"/>
                <w:sz w:val="24"/>
                <w:szCs w:val="24"/>
                <w:vertAlign w:val="baseline"/>
                <w:lang w:val="zh-CN"/>
              </w:rPr>
            </w:pPr>
            <w:r>
              <w:rPr>
                <w:rFonts w:hint="eastAsia" w:ascii="仿宋" w:hAnsi="仿宋" w:eastAsia="仿宋" w:cs="仿宋"/>
                <w:sz w:val="24"/>
                <w:szCs w:val="24"/>
              </w:rPr>
              <w:t>具有独立承担民事责任的能力</w:t>
            </w:r>
          </w:p>
        </w:tc>
        <w:tc>
          <w:tcPr>
            <w:tcW w:w="3340" w:type="dxa"/>
            <w:noWrap w:val="0"/>
            <w:vAlign w:val="center"/>
          </w:tcPr>
          <w:p>
            <w:pPr>
              <w:spacing w:beforeLines="0" w:afterLines="0" w:line="240" w:lineRule="auto"/>
              <w:jc w:val="both"/>
              <w:rPr>
                <w:rFonts w:hint="eastAsia" w:ascii="仿宋" w:hAnsi="仿宋" w:eastAsia="仿宋" w:cs="仿宋"/>
                <w:sz w:val="24"/>
                <w:szCs w:val="24"/>
                <w:highlight w:val="none"/>
                <w:vertAlign w:val="baseline"/>
                <w:lang w:val="zh-CN" w:eastAsia="zh-CN"/>
              </w:rPr>
            </w:pPr>
            <w:r>
              <w:rPr>
                <w:rFonts w:hint="eastAsia" w:ascii="仿宋" w:hAnsi="仿宋" w:eastAsia="仿宋" w:cs="仿宋"/>
                <w:color w:val="FF0000"/>
                <w:sz w:val="24"/>
                <w:szCs w:val="24"/>
                <w:highlight w:val="none"/>
              </w:rPr>
              <w:t>营业执照或事业单位法人证书或执业许可证（非企业专业服务机构）或个体工商户营业执照等证明文件</w:t>
            </w:r>
            <w:r>
              <w:rPr>
                <w:rFonts w:hint="eastAsia" w:ascii="仿宋" w:hAnsi="仿宋" w:eastAsia="仿宋" w:cs="仿宋"/>
                <w:color w:val="FF0000"/>
                <w:sz w:val="24"/>
                <w:szCs w:val="24"/>
                <w:highlight w:val="none"/>
                <w:lang w:eastAsia="zh-CN"/>
              </w:rPr>
              <w:t>。</w:t>
            </w:r>
            <w:r>
              <w:rPr>
                <w:rFonts w:hint="eastAsia" w:ascii="仿宋" w:hAnsi="仿宋" w:eastAsia="仿宋" w:cs="仿宋"/>
                <w:color w:val="auto"/>
                <w:sz w:val="21"/>
                <w:szCs w:val="21"/>
                <w:highlight w:val="none"/>
                <w:lang w:eastAsia="zh-CN"/>
              </w:rPr>
              <w:t>（银行、保险、石油石化、电力、电信等有行业特殊情况的，视为其总公司的分支机构具备独立承担民事责任的能力；其他行业总公司的分支机构不具备独立承担民事责任的能力）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2" w:type="dxa"/>
            <w:vMerge w:val="continue"/>
            <w:noWrap w:val="0"/>
            <w:vAlign w:val="center"/>
          </w:tcPr>
          <w:p>
            <w:pPr>
              <w:tabs>
                <w:tab w:val="left" w:pos="742"/>
              </w:tabs>
              <w:ind w:left="425" w:leftChars="0" w:hanging="425" w:firstLineChars="0"/>
              <w:jc w:val="center"/>
              <w:rPr>
                <w:rFonts w:hint="eastAsia" w:ascii="仿宋" w:hAnsi="仿宋" w:eastAsia="仿宋" w:cs="仿宋"/>
                <w:sz w:val="24"/>
                <w:szCs w:val="24"/>
                <w:vertAlign w:val="baseline"/>
                <w:lang w:val="zh-CN"/>
              </w:rPr>
            </w:pPr>
          </w:p>
        </w:tc>
        <w:tc>
          <w:tcPr>
            <w:tcW w:w="1261" w:type="dxa"/>
            <w:vMerge w:val="continue"/>
            <w:noWrap w:val="0"/>
            <w:vAlign w:val="center"/>
          </w:tcPr>
          <w:p>
            <w:pPr>
              <w:numPr>
                <w:ilvl w:val="0"/>
                <w:numId w:val="0"/>
              </w:numPr>
              <w:tabs>
                <w:tab w:val="left" w:pos="742"/>
              </w:tabs>
              <w:spacing w:line="240" w:lineRule="auto"/>
              <w:jc w:val="both"/>
              <w:rPr>
                <w:rFonts w:hint="eastAsia" w:ascii="仿宋" w:hAnsi="仿宋" w:eastAsia="仿宋" w:cs="仿宋"/>
                <w:sz w:val="24"/>
                <w:szCs w:val="24"/>
                <w:vertAlign w:val="baseline"/>
                <w:lang w:val="zh-CN"/>
              </w:rPr>
            </w:pPr>
          </w:p>
        </w:tc>
        <w:tc>
          <w:tcPr>
            <w:tcW w:w="4417" w:type="dxa"/>
            <w:noWrap w:val="0"/>
            <w:vAlign w:val="center"/>
          </w:tcPr>
          <w:p>
            <w:pPr>
              <w:spacing w:beforeLines="0" w:afterLines="0" w:line="240" w:lineRule="auto"/>
              <w:jc w:val="both"/>
              <w:rPr>
                <w:rFonts w:hint="eastAsia" w:ascii="仿宋" w:hAnsi="仿宋" w:eastAsia="仿宋" w:cs="仿宋"/>
                <w:sz w:val="24"/>
                <w:szCs w:val="24"/>
                <w:vertAlign w:val="baseline"/>
                <w:lang w:val="zh-CN"/>
              </w:rPr>
            </w:pPr>
            <w:r>
              <w:rPr>
                <w:rFonts w:hint="eastAsia" w:ascii="仿宋" w:hAnsi="仿宋" w:eastAsia="仿宋" w:cs="仿宋"/>
                <w:sz w:val="24"/>
                <w:szCs w:val="24"/>
              </w:rPr>
              <w:t>具有良好的商业信誉和健全的财务会计制度</w:t>
            </w:r>
            <w:r>
              <w:rPr>
                <w:rFonts w:hint="eastAsia" w:ascii="仿宋" w:hAnsi="仿宋" w:eastAsia="仿宋" w:cs="仿宋"/>
                <w:sz w:val="24"/>
                <w:szCs w:val="24"/>
                <w:lang w:eastAsia="zh-CN"/>
              </w:rPr>
              <w:t>，</w:t>
            </w:r>
            <w:r>
              <w:rPr>
                <w:rFonts w:hint="eastAsia" w:ascii="仿宋" w:hAnsi="仿宋" w:eastAsia="仿宋" w:cs="仿宋"/>
                <w:sz w:val="24"/>
                <w:szCs w:val="24"/>
              </w:rPr>
              <w:t>有依法缴纳税收和社会保障资金的良好记录</w:t>
            </w:r>
          </w:p>
        </w:tc>
        <w:tc>
          <w:tcPr>
            <w:tcW w:w="3340" w:type="dxa"/>
            <w:vMerge w:val="restart"/>
            <w:noWrap w:val="0"/>
            <w:vAlign w:val="center"/>
          </w:tcPr>
          <w:p>
            <w:pPr>
              <w:spacing w:beforeLines="0" w:afterLines="0" w:line="240" w:lineRule="auto"/>
              <w:jc w:val="both"/>
              <w:rPr>
                <w:rFonts w:hint="eastAsia" w:ascii="仿宋" w:hAnsi="仿宋" w:eastAsia="仿宋" w:cs="仿宋"/>
                <w:color w:val="FF0000"/>
                <w:sz w:val="24"/>
                <w:szCs w:val="24"/>
                <w:highlight w:val="none"/>
              </w:rPr>
            </w:pPr>
            <w:r>
              <w:rPr>
                <w:rFonts w:hint="eastAsia" w:ascii="仿宋" w:hAnsi="仿宋" w:eastAsia="仿宋" w:cs="仿宋"/>
                <w:color w:val="FF0000"/>
                <w:sz w:val="24"/>
                <w:szCs w:val="24"/>
                <w:highlight w:val="none"/>
              </w:rPr>
              <w:t>盖章的《资格条件承诺函》，承诺满足条件</w:t>
            </w:r>
            <w:r>
              <w:rPr>
                <w:rFonts w:hint="eastAsia" w:ascii="仿宋" w:hAnsi="仿宋" w:eastAsia="仿宋" w:cs="仿宋"/>
                <w:color w:val="FF0000"/>
                <w:sz w:val="24"/>
                <w:szCs w:val="24"/>
                <w:highlight w:val="none"/>
                <w:lang w:eastAsia="zh-CN"/>
              </w:rPr>
              <w:t>。</w:t>
            </w:r>
            <w:r>
              <w:rPr>
                <w:rFonts w:hint="eastAsia" w:ascii="仿宋" w:hAnsi="仿宋" w:eastAsia="仿宋" w:cs="仿宋"/>
                <w:color w:val="FF0000"/>
                <w:sz w:val="24"/>
                <w:szCs w:val="24"/>
                <w:highlight w:val="none"/>
              </w:rPr>
              <w:t>（格式详见征集文件第七章）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2" w:type="dxa"/>
            <w:vMerge w:val="continue"/>
            <w:noWrap w:val="0"/>
            <w:vAlign w:val="center"/>
          </w:tcPr>
          <w:p>
            <w:pPr>
              <w:tabs>
                <w:tab w:val="left" w:pos="742"/>
              </w:tabs>
              <w:ind w:left="425" w:leftChars="0" w:hanging="425" w:firstLineChars="0"/>
              <w:jc w:val="center"/>
              <w:rPr>
                <w:rFonts w:hint="eastAsia" w:ascii="仿宋" w:hAnsi="仿宋" w:eastAsia="仿宋" w:cs="仿宋"/>
                <w:sz w:val="24"/>
                <w:szCs w:val="24"/>
                <w:vertAlign w:val="baseline"/>
                <w:lang w:val="zh-CN"/>
              </w:rPr>
            </w:pPr>
          </w:p>
        </w:tc>
        <w:tc>
          <w:tcPr>
            <w:tcW w:w="1261" w:type="dxa"/>
            <w:vMerge w:val="continue"/>
            <w:noWrap w:val="0"/>
            <w:vAlign w:val="center"/>
          </w:tcPr>
          <w:p>
            <w:pPr>
              <w:numPr>
                <w:ilvl w:val="0"/>
                <w:numId w:val="0"/>
              </w:numPr>
              <w:tabs>
                <w:tab w:val="left" w:pos="742"/>
              </w:tabs>
              <w:spacing w:line="240" w:lineRule="auto"/>
              <w:jc w:val="both"/>
              <w:rPr>
                <w:rFonts w:hint="eastAsia" w:ascii="仿宋" w:hAnsi="仿宋" w:eastAsia="仿宋" w:cs="仿宋"/>
                <w:sz w:val="24"/>
                <w:szCs w:val="24"/>
                <w:vertAlign w:val="baseline"/>
                <w:lang w:val="zh-CN"/>
              </w:rPr>
            </w:pPr>
          </w:p>
        </w:tc>
        <w:tc>
          <w:tcPr>
            <w:tcW w:w="4417" w:type="dxa"/>
            <w:noWrap w:val="0"/>
            <w:vAlign w:val="center"/>
          </w:tcPr>
          <w:p>
            <w:pPr>
              <w:spacing w:beforeLines="0" w:afterLines="0" w:line="240" w:lineRule="auto"/>
              <w:jc w:val="both"/>
              <w:rPr>
                <w:rFonts w:hint="eastAsia" w:ascii="仿宋" w:hAnsi="仿宋" w:eastAsia="仿宋" w:cs="仿宋"/>
                <w:sz w:val="24"/>
                <w:szCs w:val="24"/>
                <w:vertAlign w:val="baseline"/>
                <w:lang w:val="zh-CN"/>
              </w:rPr>
            </w:pPr>
            <w:r>
              <w:rPr>
                <w:rFonts w:hint="eastAsia" w:ascii="仿宋" w:hAnsi="仿宋" w:eastAsia="仿宋" w:cs="仿宋"/>
                <w:sz w:val="24"/>
                <w:szCs w:val="24"/>
              </w:rPr>
              <w:t>未被列入失信被执行人、重大税收违法案件当事人名单，未被列入政府采购严重违法失信行为记录名单</w:t>
            </w:r>
          </w:p>
        </w:tc>
        <w:tc>
          <w:tcPr>
            <w:tcW w:w="3340" w:type="dxa"/>
            <w:vMerge w:val="continue"/>
            <w:noWrap w:val="0"/>
            <w:vAlign w:val="center"/>
          </w:tcPr>
          <w:p>
            <w:pPr>
              <w:numPr>
                <w:ilvl w:val="0"/>
                <w:numId w:val="0"/>
              </w:numPr>
              <w:tabs>
                <w:tab w:val="left" w:pos="742"/>
              </w:tabs>
              <w:spacing w:line="240" w:lineRule="auto"/>
              <w:jc w:val="both"/>
              <w:rPr>
                <w:rFonts w:hint="eastAsia" w:ascii="仿宋" w:hAnsi="仿宋" w:eastAsia="仿宋" w:cs="仿宋"/>
                <w:sz w:val="24"/>
                <w:szCs w:val="24"/>
                <w:vertAlign w:val="baseline"/>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2" w:type="dxa"/>
            <w:vMerge w:val="continue"/>
            <w:noWrap w:val="0"/>
            <w:vAlign w:val="center"/>
          </w:tcPr>
          <w:p>
            <w:pPr>
              <w:tabs>
                <w:tab w:val="left" w:pos="742"/>
              </w:tabs>
              <w:ind w:left="425" w:leftChars="0" w:hanging="425" w:firstLineChars="0"/>
              <w:jc w:val="center"/>
              <w:rPr>
                <w:rFonts w:hint="eastAsia" w:ascii="仿宋" w:hAnsi="仿宋" w:eastAsia="仿宋" w:cs="仿宋"/>
                <w:sz w:val="24"/>
                <w:szCs w:val="24"/>
                <w:vertAlign w:val="baseline"/>
                <w:lang w:val="zh-CN"/>
              </w:rPr>
            </w:pPr>
          </w:p>
        </w:tc>
        <w:tc>
          <w:tcPr>
            <w:tcW w:w="1261" w:type="dxa"/>
            <w:vMerge w:val="continue"/>
            <w:noWrap w:val="0"/>
            <w:vAlign w:val="center"/>
          </w:tcPr>
          <w:p>
            <w:pPr>
              <w:numPr>
                <w:ilvl w:val="0"/>
                <w:numId w:val="0"/>
              </w:numPr>
              <w:tabs>
                <w:tab w:val="left" w:pos="742"/>
              </w:tabs>
              <w:spacing w:line="240" w:lineRule="auto"/>
              <w:jc w:val="both"/>
              <w:rPr>
                <w:rFonts w:hint="eastAsia" w:ascii="仿宋" w:hAnsi="仿宋" w:eastAsia="仿宋" w:cs="仿宋"/>
                <w:sz w:val="24"/>
                <w:szCs w:val="24"/>
                <w:vertAlign w:val="baseline"/>
                <w:lang w:val="zh-CN"/>
              </w:rPr>
            </w:pPr>
          </w:p>
        </w:tc>
        <w:tc>
          <w:tcPr>
            <w:tcW w:w="4417" w:type="dxa"/>
            <w:noWrap w:val="0"/>
            <w:vAlign w:val="center"/>
          </w:tcPr>
          <w:p>
            <w:pPr>
              <w:spacing w:beforeLines="0" w:afterLines="0" w:line="240" w:lineRule="auto"/>
              <w:jc w:val="both"/>
              <w:rPr>
                <w:rFonts w:hint="eastAsia" w:ascii="仿宋" w:hAnsi="仿宋" w:eastAsia="仿宋" w:cs="仿宋"/>
                <w:sz w:val="24"/>
                <w:szCs w:val="24"/>
                <w:vertAlign w:val="baseline"/>
                <w:lang w:val="zh-CN"/>
              </w:rPr>
            </w:pPr>
            <w:r>
              <w:rPr>
                <w:rFonts w:hint="eastAsia" w:ascii="仿宋" w:hAnsi="仿宋" w:eastAsia="仿宋" w:cs="仿宋"/>
                <w:sz w:val="24"/>
                <w:szCs w:val="24"/>
                <w:vertAlign w:val="baseline"/>
                <w:lang w:val="zh-CN"/>
              </w:rPr>
              <w:t>参加政府采购活动前3年内在经营活动中没有重大违法记录</w:t>
            </w:r>
          </w:p>
        </w:tc>
        <w:tc>
          <w:tcPr>
            <w:tcW w:w="3340" w:type="dxa"/>
            <w:vMerge w:val="continue"/>
            <w:noWrap w:val="0"/>
            <w:vAlign w:val="center"/>
          </w:tcPr>
          <w:p>
            <w:pPr>
              <w:numPr>
                <w:ilvl w:val="0"/>
                <w:numId w:val="0"/>
              </w:numPr>
              <w:tabs>
                <w:tab w:val="left" w:pos="742"/>
              </w:tabs>
              <w:spacing w:line="240" w:lineRule="auto"/>
              <w:jc w:val="both"/>
              <w:rPr>
                <w:rFonts w:hint="eastAsia" w:ascii="仿宋" w:hAnsi="仿宋" w:eastAsia="仿宋" w:cs="仿宋"/>
                <w:sz w:val="24"/>
                <w:szCs w:val="24"/>
                <w:vertAlign w:val="baseline"/>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2" w:type="dxa"/>
            <w:noWrap w:val="0"/>
            <w:vAlign w:val="center"/>
          </w:tcPr>
          <w:p>
            <w:pPr>
              <w:numPr>
                <w:ilvl w:val="0"/>
                <w:numId w:val="6"/>
              </w:numPr>
              <w:tabs>
                <w:tab w:val="left" w:pos="742"/>
              </w:tabs>
              <w:ind w:left="425" w:leftChars="0" w:hanging="425" w:firstLineChars="0"/>
              <w:jc w:val="center"/>
              <w:rPr>
                <w:rFonts w:hint="eastAsia" w:ascii="仿宋" w:hAnsi="仿宋" w:eastAsia="仿宋" w:cs="仿宋"/>
                <w:sz w:val="24"/>
                <w:szCs w:val="24"/>
                <w:vertAlign w:val="baseline"/>
                <w:lang w:val="zh-CN"/>
              </w:rPr>
            </w:pPr>
          </w:p>
        </w:tc>
        <w:tc>
          <w:tcPr>
            <w:tcW w:w="5678" w:type="dxa"/>
            <w:gridSpan w:val="2"/>
            <w:noWrap w:val="0"/>
            <w:vAlign w:val="center"/>
          </w:tcPr>
          <w:p>
            <w:pPr>
              <w:pStyle w:val="6"/>
              <w:rPr>
                <w:rFonts w:hint="eastAsia" w:ascii="仿宋" w:hAnsi="仿宋" w:eastAsia="仿宋" w:cs="仿宋"/>
                <w:sz w:val="24"/>
                <w:szCs w:val="24"/>
                <w:vertAlign w:val="baseline"/>
                <w:lang w:val="zh-CN"/>
              </w:rPr>
            </w:pPr>
            <w:r>
              <w:rPr>
                <w:rFonts w:hint="eastAsia" w:ascii="仿宋" w:hAnsi="仿宋" w:eastAsia="仿宋" w:cs="仿宋"/>
                <w:sz w:val="24"/>
                <w:szCs w:val="24"/>
              </w:rPr>
              <w:t>具有履行合同所必需的设备和专业技术能力</w:t>
            </w:r>
            <w:r>
              <w:rPr>
                <w:rFonts w:hint="eastAsia" w:ascii="仿宋" w:hAnsi="仿宋" w:eastAsia="仿宋" w:cs="仿宋"/>
                <w:sz w:val="24"/>
                <w:szCs w:val="24"/>
                <w:lang w:eastAsia="zh-CN"/>
              </w:rPr>
              <w:t>的</w:t>
            </w:r>
            <w:r>
              <w:rPr>
                <w:rFonts w:hint="eastAsia" w:ascii="仿宋" w:hAnsi="仿宋" w:eastAsia="仿宋" w:cs="仿宋"/>
                <w:sz w:val="24"/>
                <w:szCs w:val="24"/>
              </w:rPr>
              <w:t>证明材料</w:t>
            </w:r>
          </w:p>
        </w:tc>
        <w:tc>
          <w:tcPr>
            <w:tcW w:w="3340" w:type="dxa"/>
            <w:noWrap w:val="0"/>
            <w:vAlign w:val="center"/>
          </w:tcPr>
          <w:p>
            <w:pPr>
              <w:numPr>
                <w:ilvl w:val="0"/>
                <w:numId w:val="0"/>
              </w:numPr>
              <w:tabs>
                <w:tab w:val="left" w:pos="742"/>
              </w:tabs>
              <w:spacing w:line="240" w:lineRule="auto"/>
              <w:jc w:val="both"/>
              <w:rPr>
                <w:rFonts w:hint="eastAsia" w:ascii="仿宋" w:hAnsi="仿宋" w:eastAsia="仿宋" w:cs="仿宋"/>
                <w:sz w:val="24"/>
                <w:szCs w:val="24"/>
                <w:vertAlign w:val="baseline"/>
                <w:lang w:val="zh-CN"/>
              </w:rPr>
            </w:pPr>
            <w:r>
              <w:rPr>
                <w:rFonts w:hint="eastAsia" w:ascii="仿宋" w:hAnsi="仿宋" w:eastAsia="仿宋" w:cs="仿宋"/>
                <w:sz w:val="24"/>
                <w:szCs w:val="24"/>
                <w:vertAlign w:val="baseline"/>
                <w:lang w:val="zh-CN"/>
              </w:rPr>
              <w:t>提供相关的材料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2" w:type="dxa"/>
            <w:noWrap w:val="0"/>
            <w:vAlign w:val="center"/>
          </w:tcPr>
          <w:p>
            <w:pPr>
              <w:numPr>
                <w:ilvl w:val="0"/>
                <w:numId w:val="6"/>
              </w:numPr>
              <w:tabs>
                <w:tab w:val="left" w:pos="742"/>
              </w:tabs>
              <w:ind w:left="425" w:leftChars="0" w:hanging="425" w:firstLineChars="0"/>
              <w:jc w:val="center"/>
              <w:rPr>
                <w:rFonts w:hint="eastAsia" w:ascii="仿宋" w:hAnsi="仿宋" w:eastAsia="仿宋" w:cs="仿宋"/>
                <w:sz w:val="24"/>
                <w:szCs w:val="24"/>
                <w:vertAlign w:val="baseline"/>
                <w:lang w:val="zh-CN"/>
              </w:rPr>
            </w:pPr>
          </w:p>
        </w:tc>
        <w:tc>
          <w:tcPr>
            <w:tcW w:w="5678" w:type="dxa"/>
            <w:gridSpan w:val="2"/>
            <w:noWrap w:val="0"/>
            <w:vAlign w:val="center"/>
          </w:tcPr>
          <w:p>
            <w:pPr>
              <w:spacing w:beforeLines="0" w:afterLines="0" w:line="240" w:lineRule="auto"/>
              <w:jc w:val="both"/>
              <w:rPr>
                <w:rFonts w:hint="eastAsia" w:ascii="仿宋" w:hAnsi="仿宋" w:eastAsia="仿宋" w:cs="仿宋"/>
                <w:sz w:val="24"/>
                <w:szCs w:val="24"/>
                <w:vertAlign w:val="baseline"/>
                <w:lang w:val="zh-CN"/>
              </w:rPr>
            </w:pPr>
            <w:r>
              <w:rPr>
                <w:rFonts w:hint="eastAsia" w:ascii="仿宋" w:hAnsi="仿宋" w:eastAsia="仿宋" w:cs="仿宋"/>
                <w:sz w:val="24"/>
                <w:szCs w:val="24"/>
              </w:rPr>
              <w:t>为本采购项目提供整体设计、规范编制或者项目管理、监理、检测等服务的，不得再参加本项目的其他招标采购活动。</w:t>
            </w:r>
          </w:p>
        </w:tc>
        <w:tc>
          <w:tcPr>
            <w:tcW w:w="3340" w:type="dxa"/>
            <w:noWrap w:val="0"/>
            <w:vAlign w:val="center"/>
          </w:tcPr>
          <w:p>
            <w:pPr>
              <w:numPr>
                <w:ilvl w:val="0"/>
                <w:numId w:val="0"/>
              </w:numPr>
              <w:tabs>
                <w:tab w:val="left" w:pos="742"/>
              </w:tabs>
              <w:spacing w:line="240" w:lineRule="auto"/>
              <w:jc w:val="both"/>
              <w:rPr>
                <w:rFonts w:hint="eastAsia" w:ascii="仿宋" w:hAnsi="仿宋" w:eastAsia="仿宋" w:cs="仿宋"/>
                <w:sz w:val="24"/>
                <w:szCs w:val="24"/>
                <w:vertAlign w:val="baseline"/>
                <w:lang w:val="zh-CN"/>
              </w:rPr>
            </w:pPr>
            <w:r>
              <w:rPr>
                <w:rFonts w:hint="eastAsia" w:ascii="仿宋" w:hAnsi="仿宋" w:eastAsia="仿宋" w:cs="仿宋"/>
                <w:sz w:val="24"/>
                <w:szCs w:val="24"/>
                <w:vertAlign w:val="baseline"/>
                <w:lang w:val="zh-CN"/>
              </w:rPr>
              <w:t>提供声明函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2" w:type="dxa"/>
            <w:noWrap w:val="0"/>
            <w:vAlign w:val="center"/>
          </w:tcPr>
          <w:p>
            <w:pPr>
              <w:numPr>
                <w:ilvl w:val="0"/>
                <w:numId w:val="6"/>
              </w:numPr>
              <w:tabs>
                <w:tab w:val="left" w:pos="742"/>
              </w:tabs>
              <w:ind w:left="425" w:leftChars="0" w:hanging="425" w:firstLineChars="0"/>
              <w:jc w:val="center"/>
              <w:rPr>
                <w:rFonts w:hint="eastAsia" w:ascii="仿宋" w:hAnsi="仿宋" w:eastAsia="仿宋" w:cs="仿宋"/>
                <w:sz w:val="24"/>
                <w:szCs w:val="24"/>
                <w:vertAlign w:val="baseline"/>
                <w:lang w:val="zh-CN"/>
              </w:rPr>
            </w:pPr>
          </w:p>
        </w:tc>
        <w:tc>
          <w:tcPr>
            <w:tcW w:w="5678" w:type="dxa"/>
            <w:gridSpan w:val="2"/>
            <w:noWrap w:val="0"/>
            <w:vAlign w:val="center"/>
          </w:tcPr>
          <w:p>
            <w:pPr>
              <w:spacing w:beforeLines="0" w:afterLines="0" w:line="240" w:lineRule="auto"/>
              <w:jc w:val="both"/>
              <w:rPr>
                <w:rFonts w:hint="eastAsia" w:ascii="仿宋" w:hAnsi="仿宋" w:eastAsia="仿宋" w:cs="仿宋"/>
                <w:sz w:val="24"/>
                <w:szCs w:val="24"/>
                <w:highlight w:val="none"/>
              </w:rPr>
            </w:pPr>
            <w:r>
              <w:rPr>
                <w:rFonts w:hint="eastAsia" w:ascii="仿宋" w:hAnsi="仿宋" w:eastAsia="仿宋" w:cs="仿宋"/>
                <w:sz w:val="24"/>
                <w:szCs w:val="24"/>
              </w:rPr>
              <w:t>单位负责人为同一人或者存在直接控股、管理关系的不同供应商，不得参加本项目同一合同项下的政府采购活动。</w:t>
            </w:r>
          </w:p>
        </w:tc>
        <w:tc>
          <w:tcPr>
            <w:tcW w:w="3340" w:type="dxa"/>
            <w:noWrap w:val="0"/>
            <w:vAlign w:val="center"/>
          </w:tcPr>
          <w:p>
            <w:pPr>
              <w:numPr>
                <w:ilvl w:val="0"/>
                <w:numId w:val="0"/>
              </w:numPr>
              <w:tabs>
                <w:tab w:val="left" w:pos="742"/>
              </w:tabs>
              <w:spacing w:line="240" w:lineRule="auto"/>
              <w:jc w:val="both"/>
              <w:rPr>
                <w:rFonts w:hint="eastAsia" w:ascii="仿宋" w:hAnsi="仿宋" w:eastAsia="仿宋" w:cs="仿宋"/>
                <w:sz w:val="24"/>
                <w:szCs w:val="24"/>
                <w:highlight w:val="none"/>
                <w:vertAlign w:val="baseline"/>
                <w:lang w:val="zh-CN"/>
              </w:rPr>
            </w:pPr>
            <w:r>
              <w:rPr>
                <w:rFonts w:hint="eastAsia" w:ascii="仿宋" w:hAnsi="仿宋" w:eastAsia="仿宋" w:cs="仿宋"/>
                <w:sz w:val="24"/>
                <w:szCs w:val="24"/>
                <w:vertAlign w:val="baseline"/>
                <w:lang w:val="zh-CN"/>
              </w:rPr>
              <w:t>提供声明函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2" w:type="dxa"/>
            <w:noWrap w:val="0"/>
            <w:vAlign w:val="center"/>
          </w:tcPr>
          <w:p>
            <w:pPr>
              <w:numPr>
                <w:ilvl w:val="0"/>
                <w:numId w:val="6"/>
              </w:numPr>
              <w:tabs>
                <w:tab w:val="left" w:pos="742"/>
              </w:tabs>
              <w:ind w:left="425" w:leftChars="0" w:hanging="425" w:firstLineChars="0"/>
              <w:jc w:val="center"/>
              <w:rPr>
                <w:rFonts w:hint="eastAsia" w:ascii="仿宋" w:hAnsi="仿宋" w:eastAsia="仿宋" w:cs="仿宋"/>
                <w:sz w:val="24"/>
                <w:szCs w:val="24"/>
                <w:vertAlign w:val="baseline"/>
                <w:lang w:val="zh-CN"/>
              </w:rPr>
            </w:pPr>
          </w:p>
        </w:tc>
        <w:tc>
          <w:tcPr>
            <w:tcW w:w="5678" w:type="dxa"/>
            <w:gridSpan w:val="2"/>
            <w:noWrap w:val="0"/>
            <w:vAlign w:val="center"/>
          </w:tcPr>
          <w:p>
            <w:pPr>
              <w:spacing w:beforeLines="0" w:afterLines="0" w:line="240" w:lineRule="auto"/>
              <w:jc w:val="both"/>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中小企业声明函</w:t>
            </w:r>
          </w:p>
        </w:tc>
        <w:tc>
          <w:tcPr>
            <w:tcW w:w="3340" w:type="dxa"/>
            <w:noWrap w:val="0"/>
            <w:vAlign w:val="center"/>
          </w:tcPr>
          <w:p>
            <w:pPr>
              <w:numPr>
                <w:ilvl w:val="0"/>
                <w:numId w:val="0"/>
              </w:numPr>
              <w:tabs>
                <w:tab w:val="left" w:pos="742"/>
              </w:tabs>
              <w:spacing w:line="240" w:lineRule="auto"/>
              <w:jc w:val="both"/>
              <w:rPr>
                <w:rFonts w:hint="eastAsia" w:ascii="仿宋" w:hAnsi="仿宋" w:eastAsia="仿宋" w:cs="仿宋"/>
                <w:color w:val="FF0000"/>
                <w:sz w:val="24"/>
                <w:szCs w:val="24"/>
                <w:highlight w:val="none"/>
                <w:vertAlign w:val="baseline"/>
                <w:lang w:val="zh-CN"/>
              </w:rPr>
            </w:pPr>
            <w:r>
              <w:rPr>
                <w:rFonts w:hint="eastAsia" w:ascii="仿宋" w:hAnsi="仿宋" w:eastAsia="仿宋" w:cs="仿宋"/>
                <w:sz w:val="24"/>
                <w:szCs w:val="24"/>
                <w:vertAlign w:val="baseline"/>
                <w:lang w:val="zh-CN"/>
              </w:rPr>
              <w:t>提供声明函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2" w:type="dxa"/>
            <w:noWrap w:val="0"/>
            <w:vAlign w:val="center"/>
          </w:tcPr>
          <w:p>
            <w:pPr>
              <w:numPr>
                <w:ilvl w:val="0"/>
                <w:numId w:val="6"/>
              </w:numPr>
              <w:tabs>
                <w:tab w:val="left" w:pos="742"/>
              </w:tabs>
              <w:ind w:left="425" w:leftChars="0" w:hanging="425" w:firstLineChars="0"/>
              <w:jc w:val="center"/>
              <w:rPr>
                <w:rFonts w:hint="eastAsia" w:ascii="仿宋" w:hAnsi="仿宋" w:eastAsia="仿宋" w:cs="仿宋"/>
                <w:sz w:val="24"/>
                <w:szCs w:val="24"/>
                <w:vertAlign w:val="baseline"/>
                <w:lang w:val="zh-CN"/>
              </w:rPr>
            </w:pPr>
          </w:p>
        </w:tc>
        <w:tc>
          <w:tcPr>
            <w:tcW w:w="5678" w:type="dxa"/>
            <w:gridSpan w:val="2"/>
            <w:noWrap w:val="0"/>
            <w:vAlign w:val="center"/>
          </w:tcPr>
          <w:p>
            <w:pPr>
              <w:keepNext w:val="0"/>
              <w:keepLines w:val="0"/>
              <w:widowControl/>
              <w:suppressLineNumbers w:val="0"/>
              <w:jc w:val="left"/>
              <w:rPr>
                <w:rFonts w:hint="eastAsia" w:ascii="仿宋" w:hAnsi="仿宋" w:eastAsia="仿宋" w:cs="仿宋"/>
                <w:sz w:val="24"/>
                <w:szCs w:val="24"/>
                <w:vertAlign w:val="baseline"/>
                <w:lang w:val="zh-CN"/>
              </w:rPr>
            </w:pPr>
            <w:r>
              <w:rPr>
                <w:rFonts w:hint="eastAsia" w:ascii="仿宋" w:hAnsi="仿宋" w:eastAsia="仿宋" w:cs="仿宋"/>
                <w:sz w:val="24"/>
                <w:szCs w:val="24"/>
                <w:vertAlign w:val="baseline"/>
                <w:lang w:val="zh-CN" w:eastAsia="zh-CN"/>
              </w:rPr>
              <w:t>供应商应提供道路运输经营许可证</w:t>
            </w:r>
          </w:p>
        </w:tc>
        <w:tc>
          <w:tcPr>
            <w:tcW w:w="3340" w:type="dxa"/>
            <w:noWrap w:val="0"/>
            <w:vAlign w:val="center"/>
          </w:tcPr>
          <w:p>
            <w:pPr>
              <w:numPr>
                <w:ilvl w:val="0"/>
                <w:numId w:val="0"/>
              </w:numPr>
              <w:tabs>
                <w:tab w:val="left" w:pos="742"/>
              </w:tabs>
              <w:spacing w:line="240" w:lineRule="auto"/>
              <w:jc w:val="both"/>
              <w:rPr>
                <w:rFonts w:hint="eastAsia" w:ascii="仿宋" w:hAnsi="仿宋" w:eastAsia="仿宋" w:cs="仿宋"/>
                <w:sz w:val="24"/>
                <w:szCs w:val="24"/>
                <w:vertAlign w:val="baseline"/>
                <w:lang w:val="zh-CN"/>
              </w:rPr>
            </w:pPr>
            <w:r>
              <w:rPr>
                <w:rFonts w:hint="eastAsia" w:ascii="仿宋" w:hAnsi="仿宋" w:eastAsia="仿宋" w:cs="仿宋"/>
                <w:sz w:val="24"/>
                <w:szCs w:val="24"/>
                <w:vertAlign w:val="baseline"/>
                <w:lang w:val="zh-CN"/>
              </w:rPr>
              <w:t>提供相关材料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2" w:type="dxa"/>
            <w:noWrap w:val="0"/>
            <w:vAlign w:val="center"/>
          </w:tcPr>
          <w:p>
            <w:pPr>
              <w:numPr>
                <w:ilvl w:val="0"/>
                <w:numId w:val="6"/>
              </w:numPr>
              <w:tabs>
                <w:tab w:val="left" w:pos="742"/>
              </w:tabs>
              <w:ind w:left="425" w:leftChars="0" w:hanging="425" w:firstLineChars="0"/>
              <w:jc w:val="center"/>
              <w:rPr>
                <w:rFonts w:hint="eastAsia" w:ascii="仿宋" w:hAnsi="仿宋" w:eastAsia="仿宋" w:cs="仿宋"/>
                <w:sz w:val="24"/>
                <w:szCs w:val="24"/>
                <w:vertAlign w:val="baseline"/>
                <w:lang w:val="zh-CN"/>
              </w:rPr>
            </w:pPr>
          </w:p>
        </w:tc>
        <w:tc>
          <w:tcPr>
            <w:tcW w:w="5678" w:type="dxa"/>
            <w:gridSpan w:val="2"/>
            <w:noWrap w:val="0"/>
            <w:vAlign w:val="center"/>
          </w:tcPr>
          <w:p>
            <w:pPr>
              <w:numPr>
                <w:ilvl w:val="0"/>
                <w:numId w:val="0"/>
              </w:numPr>
              <w:tabs>
                <w:tab w:val="left" w:pos="742"/>
              </w:tabs>
              <w:spacing w:line="240" w:lineRule="auto"/>
              <w:jc w:val="both"/>
              <w:rPr>
                <w:rFonts w:hint="eastAsia" w:ascii="仿宋" w:hAnsi="仿宋" w:eastAsia="仿宋" w:cs="仿宋"/>
                <w:sz w:val="24"/>
                <w:szCs w:val="24"/>
                <w:vertAlign w:val="baseline"/>
                <w:lang w:val="zh-CN" w:eastAsia="zh-CN"/>
              </w:rPr>
            </w:pPr>
            <w:r>
              <w:rPr>
                <w:rFonts w:hint="eastAsia" w:ascii="仿宋" w:hAnsi="仿宋" w:eastAsia="仿宋" w:cs="仿宋"/>
                <w:sz w:val="24"/>
                <w:szCs w:val="24"/>
                <w:vertAlign w:val="baseline"/>
                <w:lang w:val="zh-CN" w:eastAsia="zh-CN"/>
              </w:rPr>
              <w:t>法律法规规定的其他条件</w:t>
            </w:r>
          </w:p>
        </w:tc>
        <w:tc>
          <w:tcPr>
            <w:tcW w:w="3340" w:type="dxa"/>
            <w:noWrap w:val="0"/>
            <w:vAlign w:val="center"/>
          </w:tcPr>
          <w:p>
            <w:pPr>
              <w:numPr>
                <w:ilvl w:val="0"/>
                <w:numId w:val="0"/>
              </w:numPr>
              <w:tabs>
                <w:tab w:val="left" w:pos="742"/>
              </w:tabs>
              <w:spacing w:line="240" w:lineRule="auto"/>
              <w:jc w:val="both"/>
              <w:rPr>
                <w:rFonts w:hint="eastAsia" w:ascii="仿宋" w:hAnsi="仿宋" w:eastAsia="仿宋" w:cs="仿宋"/>
                <w:sz w:val="24"/>
                <w:szCs w:val="24"/>
                <w:vertAlign w:val="baseline"/>
                <w:lang w:val="zh-CN"/>
              </w:rPr>
            </w:pPr>
            <w:r>
              <w:rPr>
                <w:rFonts w:hint="eastAsia" w:ascii="仿宋" w:hAnsi="仿宋" w:eastAsia="仿宋" w:cs="仿宋"/>
                <w:sz w:val="24"/>
                <w:szCs w:val="24"/>
                <w:vertAlign w:val="baseline"/>
                <w:lang w:val="zh-CN"/>
              </w:rPr>
              <w:t>提供相关资料</w:t>
            </w:r>
          </w:p>
        </w:tc>
      </w:tr>
    </w:tbl>
    <w:p>
      <w:pPr>
        <w:numPr>
          <w:ilvl w:val="0"/>
          <w:numId w:val="0"/>
        </w:numPr>
        <w:spacing w:line="360" w:lineRule="auto"/>
        <w:ind w:leftChars="0"/>
        <w:rPr>
          <w:rFonts w:hint="eastAsia" w:ascii="仿宋" w:hAnsi="仿宋" w:eastAsia="仿宋" w:cs="仿宋"/>
          <w:sz w:val="24"/>
          <w:szCs w:val="22"/>
        </w:rPr>
      </w:pPr>
      <w:r>
        <w:rPr>
          <w:rFonts w:hint="eastAsia" w:ascii="仿宋" w:hAnsi="仿宋" w:eastAsia="仿宋" w:cs="仿宋"/>
          <w:sz w:val="24"/>
          <w:szCs w:val="22"/>
        </w:rPr>
        <w:t>备注：</w:t>
      </w:r>
      <w:r>
        <w:rPr>
          <w:rFonts w:hint="eastAsia" w:ascii="仿宋" w:hAnsi="仿宋" w:eastAsia="仿宋" w:cs="仿宋"/>
          <w:sz w:val="24"/>
          <w:szCs w:val="22"/>
          <w:lang w:val="en-US" w:eastAsia="zh-CN"/>
        </w:rPr>
        <w:t>1.</w:t>
      </w:r>
      <w:r>
        <w:rPr>
          <w:rFonts w:hint="eastAsia" w:ascii="仿宋" w:hAnsi="仿宋" w:eastAsia="仿宋" w:cs="仿宋"/>
          <w:sz w:val="24"/>
          <w:szCs w:val="22"/>
        </w:rPr>
        <w:t>所有证书、证明文件包括按要求提供的官网截图必须是真实可查证的，须注明资料来源。</w:t>
      </w:r>
      <w:r>
        <w:rPr>
          <w:rFonts w:hint="eastAsia" w:ascii="仿宋" w:hAnsi="仿宋" w:eastAsia="仿宋" w:cs="仿宋"/>
          <w:b w:val="0"/>
          <w:bCs w:val="0"/>
          <w:sz w:val="24"/>
          <w:szCs w:val="22"/>
        </w:rPr>
        <w:t>资格证明文件应为</w:t>
      </w:r>
      <w:r>
        <w:rPr>
          <w:rFonts w:hint="eastAsia" w:ascii="仿宋" w:hAnsi="仿宋" w:eastAsia="仿宋" w:cs="仿宋"/>
          <w:b/>
          <w:bCs/>
          <w:sz w:val="24"/>
          <w:szCs w:val="22"/>
        </w:rPr>
        <w:t>原件的扫描件</w:t>
      </w:r>
      <w:r>
        <w:rPr>
          <w:rFonts w:hint="eastAsia" w:ascii="仿宋" w:hAnsi="仿宋" w:eastAsia="仿宋" w:cs="仿宋"/>
          <w:sz w:val="24"/>
          <w:szCs w:val="22"/>
        </w:rPr>
        <w:t>。所有证明材料须清晰可辨认，如因证明材料模糊无法辨认，缺页、漏页导致无法进行评审认定的责任由供应商自负。如发现弄虚作假将按照有关规定严肃处理。证明材料仅限于供应商本身，参股或控股单位及独立法人子公司的材料不能作为证明材料，但供应商兼并的企业的材料可作为证明材料。</w:t>
      </w:r>
    </w:p>
    <w:p>
      <w:pPr>
        <w:numPr>
          <w:ilvl w:val="0"/>
          <w:numId w:val="7"/>
        </w:numPr>
        <w:spacing w:line="360" w:lineRule="auto"/>
        <w:ind w:leftChars="0" w:firstLine="480" w:firstLineChars="200"/>
        <w:rPr>
          <w:rFonts w:hint="eastAsia" w:ascii="仿宋" w:hAnsi="仿宋" w:eastAsia="仿宋" w:cs="仿宋"/>
          <w:b/>
          <w:bCs/>
          <w:sz w:val="24"/>
          <w:szCs w:val="22"/>
          <w:lang w:val="zh-CN"/>
        </w:rPr>
      </w:pPr>
      <w:r>
        <w:rPr>
          <w:rFonts w:hint="eastAsia" w:ascii="仿宋" w:hAnsi="仿宋" w:eastAsia="仿宋" w:cs="仿宋"/>
          <w:sz w:val="24"/>
          <w:szCs w:val="22"/>
          <w:lang w:val="zh-CN"/>
        </w:rPr>
        <w:t>资格性审查出现以上情形之一的投标按照</w:t>
      </w:r>
      <w:r>
        <w:rPr>
          <w:rFonts w:hint="eastAsia" w:ascii="仿宋" w:hAnsi="仿宋" w:eastAsia="仿宋" w:cs="仿宋"/>
          <w:b/>
          <w:bCs/>
          <w:sz w:val="24"/>
          <w:szCs w:val="22"/>
          <w:lang w:val="zh-CN"/>
        </w:rPr>
        <w:t>无效投标处理。</w:t>
      </w:r>
    </w:p>
    <w:p>
      <w:pPr>
        <w:numPr>
          <w:ilvl w:val="0"/>
          <w:numId w:val="0"/>
        </w:numPr>
        <w:tabs>
          <w:tab w:val="left" w:pos="742"/>
        </w:tabs>
        <w:ind w:leftChars="104"/>
        <w:rPr>
          <w:rFonts w:hint="eastAsia" w:ascii="仿宋" w:hAnsi="仿宋" w:eastAsia="仿宋"/>
          <w:sz w:val="24"/>
          <w:szCs w:val="24"/>
        </w:rPr>
      </w:pPr>
      <w:r>
        <w:rPr>
          <w:rFonts w:hint="eastAsia" w:ascii="仿宋" w:hAnsi="仿宋" w:eastAsia="仿宋"/>
          <w:sz w:val="24"/>
          <w:szCs w:val="24"/>
        </w:rPr>
        <w:t>附表2：符合性审查表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0"/>
        <w:gridCol w:w="2638"/>
        <w:gridCol w:w="63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750" w:type="dxa"/>
            <w:noWrap w:val="0"/>
            <w:vAlign w:val="center"/>
          </w:tcPr>
          <w:p>
            <w:pPr>
              <w:numPr>
                <w:ilvl w:val="0"/>
                <w:numId w:val="0"/>
              </w:numPr>
              <w:tabs>
                <w:tab w:val="left" w:pos="742"/>
              </w:tabs>
              <w:spacing w:line="240" w:lineRule="auto"/>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序号</w:t>
            </w:r>
          </w:p>
        </w:tc>
        <w:tc>
          <w:tcPr>
            <w:tcW w:w="2638" w:type="dxa"/>
            <w:noWrap w:val="0"/>
            <w:vAlign w:val="center"/>
          </w:tcPr>
          <w:p>
            <w:pPr>
              <w:numPr>
                <w:ilvl w:val="0"/>
                <w:numId w:val="0"/>
              </w:numPr>
              <w:tabs>
                <w:tab w:val="left" w:pos="742"/>
              </w:tabs>
              <w:spacing w:line="240" w:lineRule="auto"/>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条款内容</w:t>
            </w:r>
          </w:p>
        </w:tc>
        <w:tc>
          <w:tcPr>
            <w:tcW w:w="6352" w:type="dxa"/>
            <w:noWrap w:val="0"/>
            <w:vAlign w:val="center"/>
          </w:tcPr>
          <w:p>
            <w:pPr>
              <w:numPr>
                <w:ilvl w:val="0"/>
                <w:numId w:val="0"/>
              </w:numPr>
              <w:tabs>
                <w:tab w:val="left" w:pos="742"/>
              </w:tabs>
              <w:spacing w:line="240" w:lineRule="auto"/>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审查内容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0" w:type="dxa"/>
            <w:noWrap w:val="0"/>
            <w:vAlign w:val="center"/>
          </w:tcPr>
          <w:p>
            <w:pPr>
              <w:numPr>
                <w:ilvl w:val="0"/>
                <w:numId w:val="8"/>
              </w:numPr>
              <w:tabs>
                <w:tab w:val="left" w:pos="742"/>
              </w:tabs>
              <w:ind w:left="425" w:leftChars="0" w:hanging="425" w:firstLineChars="0"/>
              <w:jc w:val="center"/>
              <w:rPr>
                <w:rFonts w:hint="eastAsia" w:ascii="仿宋" w:hAnsi="仿宋" w:eastAsia="仿宋" w:cs="仿宋"/>
                <w:sz w:val="24"/>
                <w:szCs w:val="24"/>
                <w:vertAlign w:val="baseline"/>
                <w:lang w:val="zh-CN"/>
              </w:rPr>
            </w:pPr>
          </w:p>
        </w:tc>
        <w:tc>
          <w:tcPr>
            <w:tcW w:w="2638" w:type="dxa"/>
            <w:noWrap w:val="0"/>
            <w:vAlign w:val="center"/>
          </w:tcPr>
          <w:p>
            <w:pPr>
              <w:numPr>
                <w:ilvl w:val="0"/>
                <w:numId w:val="0"/>
              </w:numPr>
              <w:tabs>
                <w:tab w:val="left" w:pos="742"/>
              </w:tabs>
              <w:spacing w:line="240" w:lineRule="auto"/>
              <w:jc w:val="both"/>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响应文件的完整性</w:t>
            </w:r>
          </w:p>
        </w:tc>
        <w:tc>
          <w:tcPr>
            <w:tcW w:w="6352" w:type="dxa"/>
            <w:noWrap w:val="0"/>
            <w:vAlign w:val="center"/>
          </w:tcPr>
          <w:p>
            <w:pPr>
              <w:numPr>
                <w:ilvl w:val="0"/>
                <w:numId w:val="0"/>
              </w:numPr>
              <w:tabs>
                <w:tab w:val="left" w:pos="742"/>
              </w:tabs>
              <w:spacing w:line="240" w:lineRule="auto"/>
              <w:jc w:val="both"/>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zh-CN"/>
              </w:rPr>
              <w:t>供应商的响应文件</w:t>
            </w:r>
            <w:r>
              <w:rPr>
                <w:rFonts w:hint="eastAsia" w:ascii="仿宋" w:hAnsi="仿宋" w:eastAsia="仿宋" w:cs="仿宋"/>
                <w:sz w:val="24"/>
                <w:szCs w:val="24"/>
                <w:vertAlign w:val="baseline"/>
                <w:lang w:val="en-US" w:eastAsia="zh-CN"/>
              </w:rPr>
              <w:t>应按照征集文件的要求提供</w:t>
            </w:r>
            <w:r>
              <w:rPr>
                <w:rFonts w:hint="eastAsia" w:ascii="仿宋" w:hAnsi="仿宋" w:eastAsia="仿宋" w:cs="仿宋"/>
                <w:sz w:val="24"/>
                <w:szCs w:val="24"/>
                <w:vertAlign w:val="baseline"/>
                <w:lang w:val="zh-CN"/>
              </w:rPr>
              <w:t>《投标书》、《开标一览表》、《分项报价表》。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noWrap w:val="0"/>
            <w:vAlign w:val="center"/>
          </w:tcPr>
          <w:p>
            <w:pPr>
              <w:numPr>
                <w:ilvl w:val="0"/>
                <w:numId w:val="8"/>
              </w:numPr>
              <w:tabs>
                <w:tab w:val="left" w:pos="742"/>
              </w:tabs>
              <w:ind w:left="425" w:leftChars="0" w:hanging="425" w:firstLineChars="0"/>
              <w:jc w:val="center"/>
              <w:rPr>
                <w:rFonts w:hint="eastAsia" w:ascii="仿宋" w:hAnsi="仿宋" w:eastAsia="仿宋" w:cs="仿宋"/>
                <w:sz w:val="24"/>
                <w:szCs w:val="24"/>
                <w:vertAlign w:val="baseline"/>
                <w:lang w:val="zh-CN"/>
              </w:rPr>
            </w:pPr>
          </w:p>
        </w:tc>
        <w:tc>
          <w:tcPr>
            <w:tcW w:w="2638" w:type="dxa"/>
            <w:noWrap w:val="0"/>
            <w:vAlign w:val="center"/>
          </w:tcPr>
          <w:p>
            <w:pPr>
              <w:numPr>
                <w:ilvl w:val="0"/>
                <w:numId w:val="0"/>
              </w:numPr>
              <w:tabs>
                <w:tab w:val="left" w:pos="742"/>
              </w:tabs>
              <w:spacing w:line="240" w:lineRule="auto"/>
              <w:jc w:val="both"/>
              <w:rPr>
                <w:rFonts w:hint="eastAsia" w:ascii="仿宋" w:hAnsi="仿宋" w:eastAsia="仿宋" w:cs="仿宋"/>
                <w:sz w:val="24"/>
                <w:szCs w:val="24"/>
                <w:vertAlign w:val="baseline"/>
                <w:lang w:val="zh-CN"/>
              </w:rPr>
            </w:pPr>
            <w:r>
              <w:rPr>
                <w:rFonts w:hint="eastAsia" w:ascii="仿宋" w:hAnsi="仿宋" w:eastAsia="仿宋" w:cs="仿宋"/>
                <w:sz w:val="24"/>
                <w:szCs w:val="24"/>
              </w:rPr>
              <w:t>供应商报价</w:t>
            </w:r>
          </w:p>
        </w:tc>
        <w:tc>
          <w:tcPr>
            <w:tcW w:w="6352" w:type="dxa"/>
            <w:noWrap w:val="0"/>
            <w:vAlign w:val="center"/>
          </w:tcPr>
          <w:p>
            <w:pPr>
              <w:numPr>
                <w:ilvl w:val="0"/>
                <w:numId w:val="0"/>
              </w:numPr>
              <w:tabs>
                <w:tab w:val="left" w:pos="742"/>
              </w:tabs>
              <w:spacing w:line="240" w:lineRule="auto"/>
              <w:jc w:val="both"/>
              <w:rPr>
                <w:rFonts w:hint="eastAsia" w:ascii="仿宋" w:hAnsi="仿宋" w:eastAsia="仿宋" w:cs="仿宋"/>
                <w:sz w:val="24"/>
                <w:szCs w:val="24"/>
                <w:vertAlign w:val="baseline"/>
                <w:lang w:val="zh-CN"/>
              </w:rPr>
            </w:pPr>
            <w:r>
              <w:rPr>
                <w:rFonts w:hint="eastAsia" w:ascii="仿宋" w:hAnsi="仿宋" w:eastAsia="仿宋" w:cs="仿宋"/>
                <w:sz w:val="24"/>
                <w:szCs w:val="24"/>
                <w:vertAlign w:val="baseline"/>
                <w:lang w:val="en-US" w:eastAsia="zh-CN"/>
              </w:rPr>
              <w:t>1.</w:t>
            </w:r>
            <w:r>
              <w:rPr>
                <w:rFonts w:hint="eastAsia" w:ascii="仿宋" w:hAnsi="仿宋" w:eastAsia="仿宋" w:cs="仿宋"/>
                <w:sz w:val="24"/>
                <w:szCs w:val="24"/>
                <w:vertAlign w:val="baseline"/>
                <w:lang w:val="zh-CN"/>
              </w:rPr>
              <w:t>供应商报价不得超过最高限价；</w:t>
            </w:r>
            <w:r>
              <w:rPr>
                <w:rFonts w:hint="eastAsia" w:ascii="仿宋" w:hAnsi="仿宋" w:eastAsia="仿宋" w:cs="仿宋"/>
                <w:sz w:val="24"/>
                <w:szCs w:val="24"/>
                <w:vertAlign w:val="baseline"/>
                <w:lang w:val="en-US" w:eastAsia="zh-CN"/>
              </w:rPr>
              <w:t>2.</w:t>
            </w:r>
            <w:r>
              <w:rPr>
                <w:rFonts w:hint="eastAsia" w:ascii="仿宋" w:hAnsi="仿宋" w:eastAsia="仿宋" w:cs="仿宋"/>
                <w:sz w:val="24"/>
                <w:szCs w:val="24"/>
                <w:vertAlign w:val="baseline"/>
                <w:lang w:val="zh-CN"/>
              </w:rPr>
              <w:t>报价内容不存在缺项、漏项；</w:t>
            </w:r>
            <w:r>
              <w:rPr>
                <w:rFonts w:hint="eastAsia" w:ascii="仿宋" w:hAnsi="仿宋" w:eastAsia="仿宋" w:cs="仿宋"/>
                <w:sz w:val="24"/>
                <w:szCs w:val="24"/>
                <w:vertAlign w:val="baseline"/>
                <w:lang w:val="en-US" w:eastAsia="zh-CN"/>
              </w:rPr>
              <w:t>3.不得</w:t>
            </w:r>
            <w:r>
              <w:rPr>
                <w:rFonts w:hint="eastAsia" w:ascii="仿宋" w:hAnsi="仿宋" w:eastAsia="仿宋" w:cs="仿宋"/>
                <w:sz w:val="24"/>
                <w:szCs w:val="24"/>
                <w:lang w:val="zh-CN"/>
              </w:rPr>
              <w:t>出现两个或两个以上不同报价。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noWrap w:val="0"/>
            <w:vAlign w:val="center"/>
          </w:tcPr>
          <w:p>
            <w:pPr>
              <w:numPr>
                <w:ilvl w:val="0"/>
                <w:numId w:val="8"/>
              </w:numPr>
              <w:tabs>
                <w:tab w:val="left" w:pos="742"/>
              </w:tabs>
              <w:ind w:left="425" w:leftChars="0" w:hanging="425" w:firstLineChars="0"/>
              <w:jc w:val="center"/>
              <w:rPr>
                <w:rFonts w:hint="eastAsia" w:ascii="仿宋" w:hAnsi="仿宋" w:eastAsia="仿宋" w:cs="仿宋"/>
                <w:sz w:val="24"/>
                <w:szCs w:val="24"/>
                <w:vertAlign w:val="baseline"/>
                <w:lang w:val="zh-CN"/>
              </w:rPr>
            </w:pPr>
          </w:p>
        </w:tc>
        <w:tc>
          <w:tcPr>
            <w:tcW w:w="2638" w:type="dxa"/>
            <w:noWrap w:val="0"/>
            <w:vAlign w:val="center"/>
          </w:tcPr>
          <w:p>
            <w:pPr>
              <w:numPr>
                <w:ilvl w:val="0"/>
                <w:numId w:val="0"/>
              </w:numPr>
              <w:tabs>
                <w:tab w:val="left" w:pos="742"/>
              </w:tabs>
              <w:spacing w:line="240" w:lineRule="auto"/>
              <w:jc w:val="both"/>
              <w:rPr>
                <w:rFonts w:hint="eastAsia" w:ascii="仿宋" w:hAnsi="仿宋" w:eastAsia="仿宋" w:cs="仿宋"/>
                <w:sz w:val="24"/>
                <w:szCs w:val="24"/>
                <w:vertAlign w:val="baseline"/>
                <w:lang w:val="zh-CN"/>
              </w:rPr>
            </w:pPr>
            <w:r>
              <w:rPr>
                <w:rFonts w:hint="eastAsia" w:ascii="仿宋" w:hAnsi="仿宋" w:eastAsia="仿宋" w:cs="仿宋"/>
                <w:sz w:val="24"/>
                <w:szCs w:val="24"/>
                <w:lang w:val="zh-CN"/>
              </w:rPr>
              <w:t>投标方案</w:t>
            </w:r>
          </w:p>
        </w:tc>
        <w:tc>
          <w:tcPr>
            <w:tcW w:w="6352" w:type="dxa"/>
            <w:noWrap w:val="0"/>
            <w:vAlign w:val="center"/>
          </w:tcPr>
          <w:p>
            <w:pPr>
              <w:numPr>
                <w:ilvl w:val="0"/>
                <w:numId w:val="0"/>
              </w:numPr>
              <w:tabs>
                <w:tab w:val="left" w:pos="742"/>
              </w:tabs>
              <w:spacing w:line="240" w:lineRule="auto"/>
              <w:jc w:val="both"/>
              <w:rPr>
                <w:rFonts w:hint="eastAsia" w:ascii="仿宋" w:hAnsi="仿宋" w:eastAsia="仿宋" w:cs="仿宋"/>
                <w:sz w:val="24"/>
                <w:szCs w:val="24"/>
                <w:vertAlign w:val="baseline"/>
                <w:lang w:val="zh-CN"/>
              </w:rPr>
            </w:pPr>
            <w:r>
              <w:rPr>
                <w:rFonts w:hint="eastAsia" w:ascii="仿宋" w:hAnsi="仿宋" w:eastAsia="仿宋" w:cs="仿宋"/>
                <w:sz w:val="24"/>
                <w:szCs w:val="24"/>
                <w:lang w:val="en-US" w:eastAsia="zh-CN"/>
              </w:rPr>
              <w:t>响应文件不得</w:t>
            </w:r>
            <w:r>
              <w:rPr>
                <w:rFonts w:hint="eastAsia" w:ascii="仿宋" w:hAnsi="仿宋" w:eastAsia="仿宋" w:cs="仿宋"/>
                <w:sz w:val="24"/>
                <w:szCs w:val="24"/>
                <w:lang w:val="zh-CN"/>
              </w:rPr>
              <w:t>出现两个或两个以上投标方案。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noWrap w:val="0"/>
            <w:vAlign w:val="center"/>
          </w:tcPr>
          <w:p>
            <w:pPr>
              <w:numPr>
                <w:ilvl w:val="0"/>
                <w:numId w:val="8"/>
              </w:numPr>
              <w:tabs>
                <w:tab w:val="left" w:pos="742"/>
              </w:tabs>
              <w:ind w:left="425" w:leftChars="0" w:hanging="425" w:firstLineChars="0"/>
              <w:jc w:val="center"/>
              <w:rPr>
                <w:rFonts w:hint="eastAsia" w:ascii="仿宋" w:hAnsi="仿宋" w:eastAsia="仿宋" w:cs="仿宋"/>
                <w:sz w:val="24"/>
                <w:szCs w:val="24"/>
                <w:vertAlign w:val="baseline"/>
                <w:lang w:val="zh-CN"/>
              </w:rPr>
            </w:pPr>
          </w:p>
        </w:tc>
        <w:tc>
          <w:tcPr>
            <w:tcW w:w="2638" w:type="dxa"/>
            <w:noWrap w:val="0"/>
            <w:vAlign w:val="center"/>
          </w:tcPr>
          <w:p>
            <w:pPr>
              <w:spacing w:beforeLines="0" w:afterLines="0" w:line="240" w:lineRule="auto"/>
              <w:jc w:val="both"/>
              <w:rPr>
                <w:rFonts w:hint="eastAsia" w:ascii="仿宋" w:hAnsi="仿宋" w:eastAsia="仿宋" w:cs="仿宋"/>
                <w:sz w:val="24"/>
                <w:szCs w:val="24"/>
                <w:vertAlign w:val="baseline"/>
                <w:lang w:val="zh-CN"/>
              </w:rPr>
            </w:pPr>
            <w:r>
              <w:rPr>
                <w:rFonts w:hint="eastAsia" w:ascii="仿宋" w:hAnsi="仿宋" w:eastAsia="仿宋" w:cs="仿宋"/>
                <w:sz w:val="24"/>
                <w:szCs w:val="24"/>
              </w:rPr>
              <w:t>响应文件有效期</w:t>
            </w:r>
          </w:p>
        </w:tc>
        <w:tc>
          <w:tcPr>
            <w:tcW w:w="6352" w:type="dxa"/>
            <w:noWrap w:val="0"/>
            <w:vAlign w:val="center"/>
          </w:tcPr>
          <w:p>
            <w:pPr>
              <w:spacing w:beforeLines="0" w:afterLines="0" w:line="240" w:lineRule="auto"/>
              <w:jc w:val="both"/>
              <w:rPr>
                <w:rFonts w:hint="eastAsia" w:ascii="仿宋" w:hAnsi="仿宋" w:eastAsia="仿宋" w:cs="仿宋"/>
                <w:sz w:val="24"/>
                <w:szCs w:val="24"/>
                <w:vertAlign w:val="baseline"/>
                <w:lang w:val="zh-CN" w:eastAsia="zh-CN"/>
              </w:rPr>
            </w:pPr>
            <w:r>
              <w:rPr>
                <w:rFonts w:hint="eastAsia" w:ascii="仿宋" w:hAnsi="仿宋" w:eastAsia="仿宋" w:cs="仿宋"/>
                <w:sz w:val="24"/>
                <w:szCs w:val="24"/>
              </w:rPr>
              <w:t>响应文件有效期不得少于90天</w:t>
            </w:r>
            <w:r>
              <w:rPr>
                <w:rFonts w:hint="eastAsia" w:ascii="仿宋" w:hAnsi="仿宋" w:eastAsia="仿宋" w:cs="仿宋"/>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noWrap w:val="0"/>
            <w:vAlign w:val="center"/>
          </w:tcPr>
          <w:p>
            <w:pPr>
              <w:numPr>
                <w:ilvl w:val="0"/>
                <w:numId w:val="8"/>
              </w:numPr>
              <w:tabs>
                <w:tab w:val="left" w:pos="742"/>
              </w:tabs>
              <w:ind w:left="425" w:leftChars="0" w:hanging="425" w:firstLineChars="0"/>
              <w:jc w:val="center"/>
              <w:rPr>
                <w:rFonts w:hint="eastAsia" w:ascii="仿宋" w:hAnsi="仿宋" w:eastAsia="仿宋" w:cs="仿宋"/>
                <w:sz w:val="24"/>
                <w:szCs w:val="24"/>
                <w:vertAlign w:val="baseline"/>
                <w:lang w:val="zh-CN"/>
              </w:rPr>
            </w:pPr>
          </w:p>
        </w:tc>
        <w:tc>
          <w:tcPr>
            <w:tcW w:w="2638" w:type="dxa"/>
            <w:noWrap w:val="0"/>
            <w:vAlign w:val="center"/>
          </w:tcPr>
          <w:p>
            <w:pPr>
              <w:spacing w:beforeLines="0" w:afterLines="0" w:line="240" w:lineRule="auto"/>
              <w:jc w:val="both"/>
              <w:rPr>
                <w:rFonts w:hint="default" w:ascii="仿宋" w:hAnsi="仿宋" w:eastAsia="仿宋" w:cs="仿宋"/>
                <w:sz w:val="24"/>
                <w:szCs w:val="24"/>
                <w:vertAlign w:val="baseline"/>
                <w:lang w:val="en-US" w:eastAsia="zh-CN"/>
              </w:rPr>
            </w:pPr>
            <w:r>
              <w:rPr>
                <w:rFonts w:hint="eastAsia" w:ascii="仿宋" w:hAnsi="仿宋" w:eastAsia="仿宋" w:cs="仿宋"/>
                <w:sz w:val="24"/>
                <w:szCs w:val="24"/>
                <w:lang w:val="en-US" w:eastAsia="zh-CN"/>
              </w:rPr>
              <w:t>盖章或签字</w:t>
            </w:r>
          </w:p>
        </w:tc>
        <w:tc>
          <w:tcPr>
            <w:tcW w:w="6352" w:type="dxa"/>
            <w:noWrap w:val="0"/>
            <w:vAlign w:val="center"/>
          </w:tcPr>
          <w:p>
            <w:pPr>
              <w:numPr>
                <w:ilvl w:val="0"/>
                <w:numId w:val="0"/>
              </w:numPr>
              <w:tabs>
                <w:tab w:val="left" w:pos="742"/>
              </w:tabs>
              <w:spacing w:line="240" w:lineRule="auto"/>
              <w:jc w:val="both"/>
              <w:rPr>
                <w:rFonts w:hint="eastAsia" w:ascii="仿宋" w:hAnsi="仿宋" w:eastAsia="仿宋" w:cs="仿宋"/>
                <w:sz w:val="24"/>
                <w:szCs w:val="24"/>
                <w:vertAlign w:val="baseline"/>
                <w:lang w:val="zh-CN" w:eastAsia="zh-CN"/>
              </w:rPr>
            </w:pPr>
            <w:r>
              <w:rPr>
                <w:rFonts w:hint="eastAsia" w:ascii="仿宋" w:hAnsi="仿宋" w:eastAsia="仿宋" w:cs="仿宋"/>
                <w:sz w:val="24"/>
                <w:szCs w:val="24"/>
              </w:rPr>
              <w:t>供应商应使用CA数字证书加盖供应商的单位电子印章或扫描上传加盖单位公章的电子响应文件；要求“签字”的地方，供应商应使用CA 数字证书加盖法定代表人或授权委托人的个人电子印章或电子签名章或扫描上传法定代表人或授权委托人签字的电子响应文件</w:t>
            </w:r>
            <w:r>
              <w:rPr>
                <w:rFonts w:hint="eastAsia" w:ascii="仿宋" w:hAnsi="仿宋" w:eastAsia="仿宋" w:cs="仿宋"/>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noWrap w:val="0"/>
            <w:vAlign w:val="center"/>
          </w:tcPr>
          <w:p>
            <w:pPr>
              <w:numPr>
                <w:ilvl w:val="0"/>
                <w:numId w:val="8"/>
              </w:numPr>
              <w:tabs>
                <w:tab w:val="left" w:pos="742"/>
              </w:tabs>
              <w:ind w:left="425" w:leftChars="0" w:hanging="425" w:firstLineChars="0"/>
              <w:jc w:val="center"/>
              <w:rPr>
                <w:rFonts w:hint="eastAsia" w:ascii="仿宋" w:hAnsi="仿宋" w:eastAsia="仿宋" w:cs="仿宋"/>
                <w:sz w:val="24"/>
                <w:szCs w:val="24"/>
                <w:vertAlign w:val="baseline"/>
                <w:lang w:val="zh-CN"/>
              </w:rPr>
            </w:pPr>
          </w:p>
        </w:tc>
        <w:tc>
          <w:tcPr>
            <w:tcW w:w="2638" w:type="dxa"/>
            <w:noWrap w:val="0"/>
            <w:vAlign w:val="center"/>
          </w:tcPr>
          <w:p>
            <w:pPr>
              <w:spacing w:beforeLines="0" w:afterLines="0" w:line="240" w:lineRule="auto"/>
              <w:jc w:val="both"/>
              <w:rPr>
                <w:rFonts w:hint="eastAsia" w:ascii="仿宋" w:hAnsi="仿宋" w:eastAsia="仿宋" w:cs="仿宋"/>
                <w:sz w:val="24"/>
                <w:szCs w:val="24"/>
                <w:vertAlign w:val="baseline"/>
                <w:lang w:val="zh-CN"/>
              </w:rPr>
            </w:pPr>
            <w:r>
              <w:rPr>
                <w:rFonts w:hint="eastAsia" w:ascii="仿宋" w:hAnsi="仿宋" w:eastAsia="仿宋" w:cs="仿宋"/>
                <w:sz w:val="24"/>
                <w:szCs w:val="24"/>
                <w:vertAlign w:val="baseline"/>
                <w:lang w:val="zh-CN"/>
              </w:rPr>
              <w:t>供应商企业人员情况</w:t>
            </w:r>
          </w:p>
        </w:tc>
        <w:tc>
          <w:tcPr>
            <w:tcW w:w="6352" w:type="dxa"/>
            <w:noWrap w:val="0"/>
            <w:vAlign w:val="center"/>
          </w:tcPr>
          <w:p>
            <w:pPr>
              <w:numPr>
                <w:ilvl w:val="0"/>
                <w:numId w:val="0"/>
              </w:numPr>
              <w:tabs>
                <w:tab w:val="left" w:pos="742"/>
              </w:tabs>
              <w:spacing w:line="240" w:lineRule="auto"/>
              <w:jc w:val="both"/>
              <w:rPr>
                <w:rFonts w:hint="eastAsia" w:ascii="仿宋" w:hAnsi="仿宋" w:eastAsia="仿宋" w:cs="仿宋"/>
                <w:sz w:val="24"/>
                <w:szCs w:val="24"/>
                <w:vertAlign w:val="baseline"/>
                <w:lang w:val="zh-CN"/>
              </w:rPr>
            </w:pPr>
            <w:r>
              <w:rPr>
                <w:rFonts w:hint="eastAsia" w:ascii="仿宋" w:hAnsi="仿宋" w:eastAsia="仿宋" w:cs="仿宋"/>
                <w:sz w:val="24"/>
                <w:szCs w:val="24"/>
                <w:lang w:val="en-US" w:eastAsia="zh-CN"/>
              </w:rPr>
              <w:t>1.</w:t>
            </w:r>
            <w:r>
              <w:rPr>
                <w:rFonts w:hint="eastAsia" w:ascii="仿宋" w:hAnsi="仿宋" w:eastAsia="仿宋" w:cs="仿宋"/>
                <w:sz w:val="24"/>
                <w:szCs w:val="24"/>
                <w:lang w:val="zh-CN" w:eastAsia="zh-CN"/>
              </w:rPr>
              <w:t>目班子成员情况表；</w:t>
            </w:r>
            <w:r>
              <w:rPr>
                <w:rFonts w:hint="eastAsia" w:ascii="仿宋" w:hAnsi="仿宋" w:eastAsia="仿宋" w:cs="仿宋"/>
                <w:sz w:val="24"/>
                <w:szCs w:val="24"/>
                <w:lang w:val="en-US" w:eastAsia="zh-CN"/>
              </w:rPr>
              <w:t>2.</w:t>
            </w:r>
            <w:r>
              <w:rPr>
                <w:rFonts w:hint="eastAsia" w:ascii="仿宋" w:hAnsi="仿宋" w:eastAsia="仿宋" w:cs="仿宋"/>
                <w:sz w:val="24"/>
                <w:szCs w:val="24"/>
                <w:lang w:val="zh-CN" w:eastAsia="zh-CN"/>
              </w:rPr>
              <w:t>项目负责人、技术负责人简历表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noWrap w:val="0"/>
            <w:vAlign w:val="center"/>
          </w:tcPr>
          <w:p>
            <w:pPr>
              <w:numPr>
                <w:ilvl w:val="0"/>
                <w:numId w:val="8"/>
              </w:numPr>
              <w:tabs>
                <w:tab w:val="left" w:pos="742"/>
              </w:tabs>
              <w:ind w:left="425" w:leftChars="0" w:hanging="425" w:firstLineChars="0"/>
              <w:jc w:val="center"/>
              <w:rPr>
                <w:rFonts w:hint="eastAsia" w:ascii="仿宋" w:hAnsi="仿宋" w:eastAsia="仿宋" w:cs="仿宋"/>
                <w:sz w:val="24"/>
                <w:szCs w:val="24"/>
                <w:vertAlign w:val="baseline"/>
                <w:lang w:val="zh-CN"/>
              </w:rPr>
            </w:pPr>
          </w:p>
        </w:tc>
        <w:tc>
          <w:tcPr>
            <w:tcW w:w="2638" w:type="dxa"/>
            <w:noWrap w:val="0"/>
            <w:vAlign w:val="center"/>
          </w:tcPr>
          <w:p>
            <w:pPr>
              <w:spacing w:beforeLines="0" w:afterLines="0" w:line="240" w:lineRule="auto"/>
              <w:jc w:val="both"/>
              <w:rPr>
                <w:rFonts w:hint="eastAsia" w:ascii="仿宋" w:hAnsi="仿宋" w:eastAsia="仿宋" w:cs="仿宋"/>
                <w:sz w:val="24"/>
                <w:szCs w:val="24"/>
              </w:rPr>
            </w:pPr>
            <w:r>
              <w:rPr>
                <w:rFonts w:hint="eastAsia" w:ascii="仿宋" w:hAnsi="仿宋" w:eastAsia="仿宋" w:cs="仿宋"/>
                <w:sz w:val="24"/>
                <w:szCs w:val="24"/>
                <w:lang w:eastAsia="zh-CN"/>
              </w:rPr>
              <w:t>供应商应满足第三章内容</w:t>
            </w:r>
          </w:p>
        </w:tc>
        <w:tc>
          <w:tcPr>
            <w:tcW w:w="6352" w:type="dxa"/>
            <w:noWrap w:val="0"/>
            <w:vAlign w:val="center"/>
          </w:tcPr>
          <w:p>
            <w:pPr>
              <w:numPr>
                <w:ilvl w:val="0"/>
                <w:numId w:val="0"/>
              </w:numPr>
              <w:tabs>
                <w:tab w:val="left" w:pos="742"/>
              </w:tabs>
              <w:spacing w:line="240" w:lineRule="auto"/>
              <w:ind w:left="0" w:leftChars="0" w:firstLine="0" w:firstLineChars="0"/>
              <w:jc w:val="both"/>
              <w:rPr>
                <w:rFonts w:hint="eastAsia" w:ascii="仿宋" w:hAnsi="仿宋" w:eastAsia="仿宋" w:cs="仿宋"/>
                <w:sz w:val="24"/>
                <w:szCs w:val="24"/>
              </w:rPr>
            </w:pPr>
            <w:r>
              <w:rPr>
                <w:rFonts w:hint="eastAsia" w:ascii="仿宋" w:hAnsi="仿宋" w:eastAsia="仿宋" w:cs="仿宋"/>
                <w:sz w:val="24"/>
                <w:szCs w:val="24"/>
                <w:vertAlign w:val="baseline"/>
                <w:lang w:val="en-US" w:eastAsia="zh-CN"/>
              </w:rPr>
              <w:t>供应商应满足征集文件第三章，技术规格、参数及要求带</w:t>
            </w:r>
            <w:r>
              <w:rPr>
                <w:rFonts w:hint="eastAsia" w:ascii="宋体" w:hAnsi="宋体" w:eastAsia="宋体" w:cs="Times New Roman"/>
                <w:b w:val="0"/>
                <w:bCs w:val="0"/>
                <w:color w:val="0C0C0C"/>
                <w:kern w:val="2"/>
                <w:sz w:val="28"/>
                <w:szCs w:val="28"/>
                <w:lang w:val="en-US" w:eastAsia="zh-CN" w:bidi="ar-SA"/>
              </w:rPr>
              <w:t>★</w:t>
            </w:r>
            <w:r>
              <w:rPr>
                <w:rFonts w:hint="eastAsia" w:ascii="仿宋" w:hAnsi="仿宋" w:eastAsia="仿宋" w:cs="仿宋"/>
                <w:sz w:val="24"/>
                <w:szCs w:val="24"/>
                <w:vertAlign w:val="baseline"/>
                <w:lang w:val="en-US" w:eastAsia="zh-CN"/>
              </w:rPr>
              <w:t>号条款，提供相关的证明材料。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noWrap w:val="0"/>
            <w:vAlign w:val="center"/>
          </w:tcPr>
          <w:p>
            <w:pPr>
              <w:numPr>
                <w:ilvl w:val="0"/>
                <w:numId w:val="8"/>
              </w:numPr>
              <w:tabs>
                <w:tab w:val="left" w:pos="742"/>
              </w:tabs>
              <w:ind w:left="425" w:leftChars="0" w:hanging="425" w:firstLineChars="0"/>
              <w:jc w:val="center"/>
              <w:rPr>
                <w:rFonts w:hint="eastAsia" w:ascii="仿宋" w:hAnsi="仿宋" w:eastAsia="仿宋" w:cs="仿宋"/>
                <w:sz w:val="24"/>
                <w:szCs w:val="24"/>
                <w:vertAlign w:val="baseline"/>
                <w:lang w:val="zh-CN"/>
              </w:rPr>
            </w:pPr>
          </w:p>
        </w:tc>
        <w:tc>
          <w:tcPr>
            <w:tcW w:w="2638" w:type="dxa"/>
            <w:noWrap w:val="0"/>
            <w:vAlign w:val="center"/>
          </w:tcPr>
          <w:p>
            <w:pPr>
              <w:spacing w:beforeLines="0" w:afterLines="0" w:line="240" w:lineRule="auto"/>
              <w:jc w:val="both"/>
              <w:rPr>
                <w:rFonts w:hint="eastAsia" w:ascii="仿宋" w:hAnsi="仿宋" w:eastAsia="仿宋" w:cs="仿宋"/>
                <w:sz w:val="24"/>
                <w:szCs w:val="24"/>
              </w:rPr>
            </w:pPr>
            <w:r>
              <w:rPr>
                <w:rFonts w:hint="eastAsia" w:ascii="仿宋" w:hAnsi="仿宋" w:eastAsia="仿宋" w:cs="仿宋"/>
                <w:sz w:val="24"/>
                <w:szCs w:val="24"/>
                <w:vertAlign w:val="baseline"/>
                <w:lang w:val="zh-CN"/>
              </w:rPr>
              <w:t>附加条件</w:t>
            </w:r>
          </w:p>
        </w:tc>
        <w:tc>
          <w:tcPr>
            <w:tcW w:w="6352" w:type="dxa"/>
            <w:noWrap w:val="0"/>
            <w:vAlign w:val="center"/>
          </w:tcPr>
          <w:p>
            <w:pPr>
              <w:numPr>
                <w:ilvl w:val="0"/>
                <w:numId w:val="0"/>
              </w:numPr>
              <w:tabs>
                <w:tab w:val="left" w:pos="742"/>
              </w:tabs>
              <w:spacing w:line="240" w:lineRule="auto"/>
              <w:ind w:left="0" w:leftChars="0" w:firstLine="0" w:firstLineChars="0"/>
              <w:jc w:val="both"/>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响应文件不得</w:t>
            </w:r>
            <w:r>
              <w:rPr>
                <w:rFonts w:hint="eastAsia" w:ascii="仿宋" w:hAnsi="仿宋" w:eastAsia="仿宋" w:cs="仿宋"/>
                <w:sz w:val="24"/>
                <w:szCs w:val="24"/>
                <w:vertAlign w:val="baseline"/>
                <w:lang w:val="zh-CN"/>
              </w:rPr>
              <w:t>含有征集人不能接受的附加条件。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0" w:type="dxa"/>
            <w:noWrap w:val="0"/>
            <w:vAlign w:val="center"/>
          </w:tcPr>
          <w:p>
            <w:pPr>
              <w:numPr>
                <w:ilvl w:val="0"/>
                <w:numId w:val="8"/>
              </w:numPr>
              <w:tabs>
                <w:tab w:val="left" w:pos="742"/>
              </w:tabs>
              <w:ind w:left="425" w:leftChars="0" w:hanging="425" w:firstLineChars="0"/>
              <w:jc w:val="center"/>
              <w:rPr>
                <w:rFonts w:hint="eastAsia" w:ascii="仿宋" w:hAnsi="仿宋" w:eastAsia="仿宋" w:cs="仿宋"/>
                <w:sz w:val="24"/>
                <w:szCs w:val="24"/>
                <w:vertAlign w:val="baseline"/>
                <w:lang w:val="zh-CN"/>
              </w:rPr>
            </w:pPr>
          </w:p>
        </w:tc>
        <w:tc>
          <w:tcPr>
            <w:tcW w:w="2638" w:type="dxa"/>
            <w:noWrap w:val="0"/>
            <w:vAlign w:val="center"/>
          </w:tcPr>
          <w:p>
            <w:pPr>
              <w:spacing w:beforeLines="0" w:afterLines="0" w:line="240" w:lineRule="auto"/>
              <w:jc w:val="both"/>
              <w:rPr>
                <w:rFonts w:hint="eastAsia" w:ascii="仿宋" w:hAnsi="仿宋" w:eastAsia="仿宋" w:cs="仿宋"/>
                <w:sz w:val="24"/>
                <w:szCs w:val="24"/>
              </w:rPr>
            </w:pPr>
            <w:r>
              <w:rPr>
                <w:rFonts w:hint="eastAsia" w:ascii="仿宋" w:hAnsi="仿宋" w:eastAsia="仿宋" w:cs="仿宋"/>
                <w:sz w:val="24"/>
                <w:szCs w:val="24"/>
              </w:rPr>
              <w:t>其他无效投标情形</w:t>
            </w:r>
          </w:p>
        </w:tc>
        <w:tc>
          <w:tcPr>
            <w:tcW w:w="6352" w:type="dxa"/>
            <w:noWrap w:val="0"/>
            <w:vAlign w:val="center"/>
          </w:tcPr>
          <w:p>
            <w:pPr>
              <w:numPr>
                <w:ilvl w:val="0"/>
                <w:numId w:val="0"/>
              </w:numPr>
              <w:tabs>
                <w:tab w:val="left" w:pos="742"/>
              </w:tabs>
              <w:spacing w:line="240" w:lineRule="auto"/>
              <w:ind w:left="0" w:leftChars="0" w:firstLine="0" w:firstLineChars="0"/>
              <w:jc w:val="both"/>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供应商不得存在法律、法规和征集文件规定的其他无效响应情形。</w:t>
            </w:r>
          </w:p>
        </w:tc>
      </w:tr>
    </w:tbl>
    <w:p>
      <w:pPr>
        <w:pStyle w:val="2"/>
        <w:numPr>
          <w:ilvl w:val="0"/>
          <w:numId w:val="7"/>
        </w:numPr>
        <w:ind w:left="0" w:leftChars="0" w:firstLine="480" w:firstLineChars="200"/>
        <w:rPr>
          <w:rFonts w:hint="eastAsia" w:ascii="仿宋" w:hAnsi="仿宋" w:eastAsia="仿宋" w:cs="仿宋"/>
          <w:b/>
          <w:bCs/>
          <w:sz w:val="24"/>
          <w:szCs w:val="22"/>
          <w:lang w:val="zh-CN"/>
        </w:rPr>
      </w:pPr>
      <w:r>
        <w:rPr>
          <w:rFonts w:hint="eastAsia" w:ascii="仿宋" w:hAnsi="仿宋" w:eastAsia="仿宋" w:cs="仿宋"/>
          <w:sz w:val="24"/>
          <w:szCs w:val="22"/>
          <w:lang w:val="zh-CN"/>
        </w:rPr>
        <w:t>符合性审查出现以上情形之一的投标按照</w:t>
      </w:r>
      <w:r>
        <w:rPr>
          <w:rFonts w:hint="eastAsia" w:ascii="仿宋" w:hAnsi="仿宋" w:eastAsia="仿宋" w:cs="仿宋"/>
          <w:b/>
          <w:bCs/>
          <w:sz w:val="24"/>
          <w:szCs w:val="22"/>
          <w:lang w:val="zh-CN"/>
        </w:rPr>
        <w:t>无效投标处理</w:t>
      </w:r>
    </w:p>
    <w:p>
      <w:pPr>
        <w:pStyle w:val="3"/>
        <w:widowControl w:val="0"/>
        <w:numPr>
          <w:numId w:val="0"/>
        </w:numPr>
        <w:jc w:val="left"/>
        <w:rPr>
          <w:rFonts w:hint="eastAsia"/>
          <w:lang w:eastAsia="zh-CN"/>
        </w:rPr>
      </w:pPr>
    </w:p>
    <w:p>
      <w:pPr>
        <w:rPr>
          <w:rFonts w:hint="eastAsia"/>
          <w:lang w:eastAsia="zh-CN"/>
        </w:rPr>
      </w:pPr>
    </w:p>
    <w:p>
      <w:pPr>
        <w:pStyle w:val="2"/>
        <w:rPr>
          <w:rFonts w:hint="eastAsia"/>
          <w:lang w:eastAsia="zh-CN"/>
        </w:rPr>
      </w:pPr>
    </w:p>
    <w:p>
      <w:pPr>
        <w:pStyle w:val="3"/>
        <w:rPr>
          <w:rFonts w:hint="eastAsia"/>
          <w:lang w:eastAsia="zh-CN"/>
        </w:rPr>
      </w:pPr>
    </w:p>
    <w:p>
      <w:pPr>
        <w:rPr>
          <w:rFonts w:hint="eastAsia"/>
          <w:lang w:eastAsia="zh-CN"/>
        </w:rPr>
      </w:pPr>
    </w:p>
    <w:p>
      <w:pPr>
        <w:pStyle w:val="2"/>
        <w:rPr>
          <w:rFonts w:hint="eastAsia"/>
          <w:lang w:eastAsia="zh-CN"/>
        </w:rPr>
      </w:pPr>
    </w:p>
    <w:p>
      <w:pPr>
        <w:pStyle w:val="3"/>
        <w:rPr>
          <w:rFonts w:hint="eastAsia"/>
          <w:lang w:eastAsia="zh-CN"/>
        </w:rPr>
        <w:sectPr>
          <w:pgSz w:w="11906" w:h="16838"/>
          <w:pgMar w:top="1134" w:right="1191" w:bottom="1134" w:left="1191" w:header="851" w:footer="624" w:gutter="0"/>
          <w:pgBorders>
            <w:top w:val="none" w:sz="0" w:space="0"/>
            <w:left w:val="none" w:sz="0" w:space="0"/>
            <w:bottom w:val="none" w:sz="0" w:space="0"/>
            <w:right w:val="none" w:sz="0" w:space="0"/>
          </w:pgBorders>
          <w:cols w:space="720" w:num="1"/>
          <w:docGrid w:type="linesAndChars" w:linePitch="312" w:charSpace="0"/>
        </w:sectPr>
      </w:pPr>
      <w:r>
        <w:rPr>
          <w:rFonts w:hint="eastAsia"/>
          <w:lang w:eastAsia="zh-CN"/>
        </w:rPr>
        <w:drawing>
          <wp:inline distT="0" distB="0" distL="114300" distR="114300">
            <wp:extent cx="4156075" cy="9235440"/>
            <wp:effectExtent l="0" t="0" r="4445" b="0"/>
            <wp:docPr id="1" name="图片 1" descr="车辆保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车辆保养"/>
                    <pic:cNvPicPr>
                      <a:picLocks noChangeAspect="1"/>
                    </pic:cNvPicPr>
                  </pic:nvPicPr>
                  <pic:blipFill>
                    <a:blip r:embed="rId4"/>
                    <a:stretch>
                      <a:fillRect/>
                    </a:stretch>
                  </pic:blipFill>
                  <pic:spPr>
                    <a:xfrm>
                      <a:off x="0" y="0"/>
                      <a:ext cx="4156075" cy="9235440"/>
                    </a:xfrm>
                    <a:prstGeom prst="rect">
                      <a:avLst/>
                    </a:prstGeom>
                  </pic:spPr>
                </pic:pic>
              </a:graphicData>
            </a:graphic>
          </wp:inline>
        </w:drawing>
      </w:r>
      <w:bookmarkStart w:id="15" w:name="_GoBack"/>
      <w:bookmarkEnd w:id="15"/>
    </w:p>
    <w:p>
      <w:pPr>
        <w:rPr>
          <w:rFonts w:hint="default" w:ascii="仿宋" w:hAnsi="仿宋" w:eastAsia="仿宋"/>
          <w:bCs/>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0000000000000000000"/>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思源黑体 Medium">
    <w:altName w:val="黑体"/>
    <w:panose1 w:val="00000000000000000000"/>
    <w:charset w:val="80"/>
    <w:family w:val="swiss"/>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7C712A"/>
    <w:multiLevelType w:val="singleLevel"/>
    <w:tmpl w:val="887C712A"/>
    <w:lvl w:ilvl="0" w:tentative="0">
      <w:start w:val="2"/>
      <w:numFmt w:val="decimal"/>
      <w:lvlText w:val="%1."/>
      <w:lvlJc w:val="left"/>
      <w:pPr>
        <w:tabs>
          <w:tab w:val="left" w:pos="312"/>
        </w:tabs>
      </w:pPr>
    </w:lvl>
  </w:abstractNum>
  <w:abstractNum w:abstractNumId="1">
    <w:nsid w:val="EFFCEE2A"/>
    <w:multiLevelType w:val="singleLevel"/>
    <w:tmpl w:val="EFFCEE2A"/>
    <w:lvl w:ilvl="0" w:tentative="0">
      <w:start w:val="1"/>
      <w:numFmt w:val="decimal"/>
      <w:lvlText w:val="(%1)"/>
      <w:lvlJc w:val="left"/>
      <w:pPr>
        <w:ind w:left="425" w:hanging="425"/>
      </w:pPr>
      <w:rPr>
        <w:rFonts w:hint="default"/>
      </w:rPr>
    </w:lvl>
  </w:abstractNum>
  <w:abstractNum w:abstractNumId="2">
    <w:nsid w:val="FEF6AD1E"/>
    <w:multiLevelType w:val="singleLevel"/>
    <w:tmpl w:val="FEF6AD1E"/>
    <w:lvl w:ilvl="0" w:tentative="0">
      <w:start w:val="1"/>
      <w:numFmt w:val="decimal"/>
      <w:suff w:val="nothing"/>
      <w:lvlText w:val="%1．"/>
      <w:lvlJc w:val="left"/>
      <w:pPr>
        <w:ind w:left="0" w:firstLine="400"/>
      </w:pPr>
      <w:rPr>
        <w:rFonts w:hint="default"/>
      </w:rPr>
    </w:lvl>
  </w:abstractNum>
  <w:abstractNum w:abstractNumId="3">
    <w:nsid w:val="336853BA"/>
    <w:multiLevelType w:val="multilevel"/>
    <w:tmpl w:val="336853BA"/>
    <w:lvl w:ilvl="0" w:tentative="0">
      <w:start w:val="1"/>
      <w:numFmt w:val="chineseCountingThousand"/>
      <w:lvlText w:val="%1、"/>
      <w:lvlJc w:val="left"/>
      <w:pPr>
        <w:ind w:left="420" w:hanging="420"/>
      </w:pPr>
      <w:rPr>
        <w:rFonts w:hint="eastAsia"/>
        <w:sz w:val="30"/>
        <w:szCs w:val="3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0A12B47"/>
    <w:multiLevelType w:val="multilevel"/>
    <w:tmpl w:val="40A12B47"/>
    <w:lvl w:ilvl="0" w:tentative="0">
      <w:start w:val="1"/>
      <w:numFmt w:val="japaneseCounting"/>
      <w:lvlText w:val="%1、"/>
      <w:lvlJc w:val="left"/>
      <w:pPr>
        <w:ind w:left="720" w:hanging="720"/>
      </w:pPr>
      <w:rPr>
        <w:rFonts w:hint="eastAsia" w:ascii="宋体" w:hAnsi="宋体" w:eastAsia="宋体" w:cs="宋体"/>
        <w:sz w:val="32"/>
        <w:szCs w:val="3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754F7B0"/>
    <w:multiLevelType w:val="singleLevel"/>
    <w:tmpl w:val="4754F7B0"/>
    <w:lvl w:ilvl="0" w:tentative="0">
      <w:start w:val="1"/>
      <w:numFmt w:val="decimal"/>
      <w:suff w:val="nothing"/>
      <w:lvlText w:val="%1"/>
      <w:lvlJc w:val="left"/>
      <w:pPr>
        <w:ind w:left="425" w:hanging="425"/>
      </w:pPr>
      <w:rPr>
        <w:rFonts w:hint="default"/>
      </w:rPr>
    </w:lvl>
  </w:abstractNum>
  <w:abstractNum w:abstractNumId="6">
    <w:nsid w:val="4B5A82E3"/>
    <w:multiLevelType w:val="singleLevel"/>
    <w:tmpl w:val="4B5A82E3"/>
    <w:lvl w:ilvl="0" w:tentative="0">
      <w:start w:val="1"/>
      <w:numFmt w:val="decimal"/>
      <w:suff w:val="nothing"/>
      <w:lvlText w:val="%1"/>
      <w:lvlJc w:val="left"/>
      <w:pPr>
        <w:ind w:left="425" w:hanging="425"/>
      </w:pPr>
      <w:rPr>
        <w:rFonts w:hint="default"/>
      </w:rPr>
    </w:lvl>
  </w:abstractNum>
  <w:abstractNum w:abstractNumId="7">
    <w:nsid w:val="7FB231D1"/>
    <w:multiLevelType w:val="singleLevel"/>
    <w:tmpl w:val="7FB231D1"/>
    <w:lvl w:ilvl="0" w:tentative="0">
      <w:start w:val="1"/>
      <w:numFmt w:val="decimal"/>
      <w:suff w:val="nothing"/>
      <w:lvlText w:val="%1．"/>
      <w:lvlJc w:val="left"/>
      <w:pPr>
        <w:ind w:left="0" w:firstLine="400"/>
      </w:pPr>
      <w:rPr>
        <w:rFonts w:hint="default"/>
      </w:rPr>
    </w:lvl>
  </w:abstractNum>
  <w:num w:numId="1">
    <w:abstractNumId w:val="4"/>
  </w:num>
  <w:num w:numId="2">
    <w:abstractNumId w:val="3"/>
  </w:num>
  <w:num w:numId="3">
    <w:abstractNumId w:val="7"/>
  </w:num>
  <w:num w:numId="4">
    <w:abstractNumId w:val="1"/>
  </w:num>
  <w:num w:numId="5">
    <w:abstractNumId w:val="2"/>
  </w:num>
  <w:num w:numId="6">
    <w:abstractNumId w:val="5"/>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2OGY5NTZmNDEwYzY0ZDM3OTUwMDYzYTJkZTRlNDgifQ=="/>
  </w:docVars>
  <w:rsids>
    <w:rsidRoot w:val="00B75FF3"/>
    <w:rsid w:val="003305DC"/>
    <w:rsid w:val="00453C48"/>
    <w:rsid w:val="00643924"/>
    <w:rsid w:val="00835F85"/>
    <w:rsid w:val="009A22B7"/>
    <w:rsid w:val="00A121F8"/>
    <w:rsid w:val="00B75FF3"/>
    <w:rsid w:val="00DA1669"/>
    <w:rsid w:val="03F00B08"/>
    <w:rsid w:val="0DB53CD0"/>
    <w:rsid w:val="14635ACE"/>
    <w:rsid w:val="185A189B"/>
    <w:rsid w:val="1A254408"/>
    <w:rsid w:val="1C2E35CB"/>
    <w:rsid w:val="1CB1077B"/>
    <w:rsid w:val="1D014277"/>
    <w:rsid w:val="1FE741BD"/>
    <w:rsid w:val="2BBE1C86"/>
    <w:rsid w:val="2F6C32FF"/>
    <w:rsid w:val="2F7B0FD4"/>
    <w:rsid w:val="30571332"/>
    <w:rsid w:val="347E312B"/>
    <w:rsid w:val="4846091E"/>
    <w:rsid w:val="5E3557FA"/>
    <w:rsid w:val="5EF206B8"/>
    <w:rsid w:val="63AB5379"/>
    <w:rsid w:val="65BD23C4"/>
    <w:rsid w:val="71DA3698"/>
    <w:rsid w:val="7717166C"/>
    <w:rsid w:val="78F976F0"/>
    <w:rsid w:val="7B4B76C9"/>
    <w:rsid w:val="7B922F4D"/>
    <w:rsid w:val="7C7D49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qFormat="1"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qFormat/>
    <w:uiPriority w:val="9"/>
    <w:pPr>
      <w:keepNext/>
      <w:keepLines/>
      <w:spacing w:before="340" w:after="330" w:line="578" w:lineRule="auto"/>
      <w:outlineLvl w:val="0"/>
    </w:pPr>
    <w:rPr>
      <w:rFonts w:ascii="Times New Roman" w:hAnsi="Times New Roman"/>
      <w:b/>
      <w:bCs/>
      <w:kern w:val="44"/>
      <w:sz w:val="44"/>
      <w:szCs w:val="44"/>
    </w:rPr>
  </w:style>
  <w:style w:type="paragraph" w:styleId="5">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hAnsi="Times New Roman" w:eastAsia="等线" w:cs="Times New Roman"/>
    </w:rPr>
  </w:style>
  <w:style w:type="paragraph" w:styleId="3">
    <w:name w:val="toc 7"/>
    <w:basedOn w:val="1"/>
    <w:next w:val="1"/>
    <w:qFormat/>
    <w:uiPriority w:val="0"/>
    <w:pPr>
      <w:ind w:left="1680"/>
      <w:jc w:val="left"/>
    </w:pPr>
    <w:rPr>
      <w:rFonts w:ascii="Times New Roman" w:hAnsi="Times New Roman" w:cs="Times New Roman"/>
      <w:sz w:val="18"/>
      <w:szCs w:val="18"/>
    </w:rPr>
  </w:style>
  <w:style w:type="paragraph" w:styleId="6">
    <w:name w:val="Plain Text"/>
    <w:basedOn w:val="1"/>
    <w:next w:val="1"/>
    <w:qFormat/>
    <w:uiPriority w:val="0"/>
    <w:rPr>
      <w:rFonts w:ascii="宋体" w:hAnsi="Courier New"/>
      <w:kern w:val="0"/>
      <w:sz w:val="20"/>
      <w:szCs w:val="21"/>
    </w:rPr>
  </w:style>
  <w:style w:type="paragraph" w:styleId="7">
    <w:name w:val="footer"/>
    <w:basedOn w:val="1"/>
    <w:link w:val="15"/>
    <w:qFormat/>
    <w:uiPriority w:val="0"/>
    <w:pPr>
      <w:tabs>
        <w:tab w:val="center" w:pos="4153"/>
        <w:tab w:val="right" w:pos="8306"/>
      </w:tabs>
      <w:snapToGrid w:val="0"/>
      <w:jc w:val="left"/>
    </w:pPr>
    <w:rPr>
      <w:sz w:val="18"/>
      <w:szCs w:val="18"/>
    </w:rPr>
  </w:style>
  <w:style w:type="paragraph" w:styleId="8">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9">
    <w:name w:val="toc 2"/>
    <w:basedOn w:val="1"/>
    <w:next w:val="1"/>
    <w:qFormat/>
    <w:uiPriority w:val="39"/>
    <w:pPr>
      <w:ind w:left="420" w:leftChars="200"/>
    </w:p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Body text|2"/>
    <w:basedOn w:val="1"/>
    <w:qFormat/>
    <w:uiPriority w:val="0"/>
    <w:pPr>
      <w:spacing w:line="391" w:lineRule="auto"/>
      <w:ind w:firstLine="400"/>
    </w:pPr>
    <w:rPr>
      <w:rFonts w:ascii="宋体" w:hAnsi="宋体" w:eastAsia="宋体" w:cs="宋体"/>
      <w:sz w:val="30"/>
      <w:szCs w:val="30"/>
      <w:lang w:val="zh-TW" w:eastAsia="zh-TW" w:bidi="zh-TW"/>
    </w:rPr>
  </w:style>
  <w:style w:type="character" w:customStyle="1" w:styleId="14">
    <w:name w:val="页眉 Char"/>
    <w:basedOn w:val="12"/>
    <w:link w:val="8"/>
    <w:qFormat/>
    <w:uiPriority w:val="0"/>
    <w:rPr>
      <w:rFonts w:asciiTheme="minorHAnsi" w:hAnsiTheme="minorHAnsi" w:eastAsiaTheme="minorEastAsia" w:cstheme="minorBidi"/>
      <w:kern w:val="2"/>
      <w:sz w:val="18"/>
      <w:szCs w:val="18"/>
    </w:rPr>
  </w:style>
  <w:style w:type="character" w:customStyle="1" w:styleId="15">
    <w:name w:val="页脚 Char"/>
    <w:basedOn w:val="12"/>
    <w:link w:val="7"/>
    <w:qFormat/>
    <w:uiPriority w:val="0"/>
    <w:rPr>
      <w:rFonts w:asciiTheme="minorHAnsi" w:hAnsiTheme="minorHAnsi" w:eastAsiaTheme="minorEastAsia" w:cstheme="minorBidi"/>
      <w:kern w:val="2"/>
      <w:sz w:val="18"/>
      <w:szCs w:val="18"/>
    </w:rPr>
  </w:style>
  <w:style w:type="paragraph" w:customStyle="1" w:styleId="16">
    <w:name w:val="Table Paragraph"/>
    <w:basedOn w:val="1"/>
    <w:qFormat/>
    <w:uiPriority w:val="1"/>
    <w:rPr>
      <w:rFonts w:ascii="宋体" w:hAnsi="宋体" w:eastAsia="宋体" w:cs="宋体"/>
    </w:rPr>
  </w:style>
  <w:style w:type="paragraph" w:styleId="17">
    <w:name w:val="List Paragraph"/>
    <w:basedOn w:val="1"/>
    <w:qFormat/>
    <w:uiPriority w:val="1"/>
    <w:pPr>
      <w:ind w:left="740" w:firstLine="559"/>
    </w:pPr>
    <w:rPr>
      <w:rFonts w:ascii="宋体" w:hAnsi="宋体" w:eastAsia="宋体" w:cs="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3857</Words>
  <Characters>4987</Characters>
  <Lines>9</Lines>
  <Paragraphs>2</Paragraphs>
  <TotalTime>2</TotalTime>
  <ScaleCrop>false</ScaleCrop>
  <LinksUpToDate>false</LinksUpToDate>
  <CharactersWithSpaces>5040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2022-09-28T00:36:00Z</dcterms:created>
  <dc:creator>123</dc:creator>
  <cp:lastModifiedBy>czy</cp:lastModifiedBy>
  <dcterms:modified xsi:type="dcterms:W3CDTF">2023-09-21T06:48:30Z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AA6EC8865E584A52850671AE1704B8AF_13</vt:lpwstr>
  </property>
</Properties>
</file>