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仿宋" w:eastAsia="方正小标宋_GBK"/>
          <w:sz w:val="44"/>
          <w:szCs w:val="44"/>
        </w:rPr>
      </w:pPr>
      <w:r>
        <w:rPr>
          <w:rFonts w:hint="eastAsia" w:ascii="微软雅黑" w:hAnsi="微软雅黑" w:eastAsia="微软雅黑" w:cs="微软雅黑"/>
          <w:b/>
          <w:bCs/>
          <w:sz w:val="36"/>
          <w:szCs w:val="36"/>
        </w:rPr>
        <w:t>大冶市2024年度市直行政事业单位</w:t>
      </w:r>
      <w:r>
        <w:rPr>
          <w:rFonts w:hint="eastAsia" w:ascii="微软雅黑" w:hAnsi="微软雅黑" w:eastAsia="微软雅黑" w:cs="微软雅黑"/>
          <w:b/>
          <w:bCs/>
          <w:sz w:val="36"/>
          <w:szCs w:val="36"/>
          <w:lang w:eastAsia="zh-CN"/>
        </w:rPr>
        <w:t>法律</w:t>
      </w:r>
      <w:r>
        <w:rPr>
          <w:rFonts w:hint="eastAsia" w:ascii="微软雅黑" w:hAnsi="微软雅黑" w:eastAsia="微软雅黑" w:cs="微软雅黑"/>
          <w:b/>
          <w:bCs/>
          <w:sz w:val="36"/>
          <w:szCs w:val="36"/>
        </w:rPr>
        <w:t>服务封闭式框架协议采购</w:t>
      </w:r>
      <w:r>
        <w:rPr>
          <w:rFonts w:hint="eastAsia" w:ascii="微软雅黑" w:hAnsi="微软雅黑" w:eastAsia="微软雅黑" w:cs="微软雅黑"/>
          <w:b/>
          <w:bCs/>
          <w:sz w:val="36"/>
          <w:szCs w:val="36"/>
          <w:lang w:eastAsia="zh-CN"/>
        </w:rPr>
        <w:t>需求</w:t>
      </w:r>
    </w:p>
    <w:p>
      <w:pPr>
        <w:snapToGrid w:val="0"/>
        <w:spacing w:line="700" w:lineRule="exact"/>
        <w:jc w:val="center"/>
        <w:rPr>
          <w:rFonts w:ascii="华文楷体" w:hAnsi="华文楷体" w:eastAsia="华文楷体" w:cs="方正小标宋简体"/>
          <w:bCs/>
          <w:sz w:val="32"/>
          <w:szCs w:val="32"/>
        </w:rPr>
      </w:pPr>
      <w:r>
        <w:rPr>
          <w:rFonts w:hint="eastAsia" w:ascii="华文楷体" w:hAnsi="华文楷体" w:eastAsia="华文楷体" w:cs="方正小标宋简体"/>
          <w:bCs/>
          <w:sz w:val="32"/>
          <w:szCs w:val="32"/>
        </w:rPr>
        <w:t>（征求意见稿）</w:t>
      </w:r>
    </w:p>
    <w:p>
      <w:pPr>
        <w:numPr>
          <w:ilvl w:val="0"/>
          <w:numId w:val="1"/>
        </w:numPr>
        <w:ind w:left="0" w:leftChars="0" w:firstLine="220" w:firstLineChars="0"/>
        <w:rPr>
          <w:rFonts w:ascii="黑体" w:hAnsi="黑体" w:eastAsia="黑体"/>
          <w:sz w:val="32"/>
          <w:szCs w:val="32"/>
        </w:rPr>
      </w:pPr>
      <w:r>
        <w:rPr>
          <w:rFonts w:hint="eastAsia" w:ascii="黑体" w:hAnsi="黑体" w:eastAsia="黑体"/>
          <w:sz w:val="32"/>
          <w:szCs w:val="32"/>
        </w:rPr>
        <w:t>供应商的资格条件</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1.满足《中华人民共和国政府采购法》第二十二条规定，即：</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（1）具有独立承担民事责任的能力；</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（2）具有良好的商业信誉和健全的财务会计制度；</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（3）具有履行合同所必需的设备和专业技术能力；</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（4）有依法缴纳税收和社会保障资金的良好记录；</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（5）参加政府采购活动前三年内，在经营活动中没有重大违法记录；</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（6）法律、行政法规规定的其他条件。</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2.应未被列入失信被执行人、重大税收违法案件当事人名单，未被列入政府采购严重违法失信行为记录名单。</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3.落实政府采购政策需满足的资格要求：</w:t>
      </w:r>
      <w:r>
        <w:rPr>
          <w:rFonts w:hint="eastAsia" w:ascii="宋体" w:hAnsi="宋体" w:eastAsia="宋体" w:cs="宋体"/>
          <w:b w:val="0"/>
          <w:bCs w:val="0"/>
          <w:sz w:val="28"/>
          <w:szCs w:val="28"/>
          <w:lang w:eastAsia="zh-CN"/>
        </w:rPr>
        <w:t>无</w:t>
      </w:r>
    </w:p>
    <w:p>
      <w:pPr>
        <w:spacing w:line="48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4.本项目的特定资格要求：</w:t>
      </w:r>
      <w:r>
        <w:rPr>
          <w:rFonts w:hint="eastAsia" w:ascii="宋体" w:hAnsi="宋体" w:eastAsia="宋体" w:cs="宋体"/>
          <w:b/>
          <w:bCs/>
          <w:sz w:val="28"/>
          <w:szCs w:val="28"/>
        </w:rPr>
        <w:t>供应商应具备行政</w:t>
      </w:r>
      <w:r>
        <w:rPr>
          <w:rFonts w:hint="eastAsia" w:ascii="宋体" w:hAnsi="宋体" w:eastAsia="宋体" w:cs="宋体"/>
          <w:b/>
          <w:bCs/>
          <w:sz w:val="28"/>
          <w:szCs w:val="28"/>
          <w:lang w:eastAsia="zh-CN"/>
        </w:rPr>
        <w:t>主管</w:t>
      </w:r>
      <w:r>
        <w:rPr>
          <w:rFonts w:hint="eastAsia" w:ascii="宋体" w:hAnsi="宋体" w:eastAsia="宋体" w:cs="宋体"/>
          <w:b/>
          <w:bCs/>
          <w:sz w:val="28"/>
          <w:szCs w:val="28"/>
        </w:rPr>
        <w:t>部门颁发的</w:t>
      </w:r>
      <w:r>
        <w:rPr>
          <w:rFonts w:hint="eastAsia" w:ascii="宋体" w:hAnsi="宋体" w:eastAsia="宋体" w:cs="宋体"/>
          <w:b/>
          <w:bCs/>
          <w:sz w:val="28"/>
          <w:szCs w:val="28"/>
          <w:lang w:eastAsia="zh-CN"/>
        </w:rPr>
        <w:t>《</w:t>
      </w:r>
      <w:r>
        <w:rPr>
          <w:rFonts w:hint="eastAsia" w:ascii="宋体" w:hAnsi="宋体" w:eastAsia="宋体" w:cs="宋体"/>
          <w:b/>
          <w:bCs/>
          <w:sz w:val="28"/>
          <w:szCs w:val="28"/>
        </w:rPr>
        <w:t>律师事务所执业许可证</w:t>
      </w:r>
      <w:r>
        <w:rPr>
          <w:rFonts w:hint="eastAsia" w:ascii="宋体" w:hAnsi="宋体" w:eastAsia="宋体" w:cs="宋体"/>
          <w:b/>
          <w:bCs/>
          <w:sz w:val="28"/>
          <w:szCs w:val="28"/>
          <w:lang w:eastAsia="zh-CN"/>
        </w:rPr>
        <w:t>》。</w:t>
      </w:r>
    </w:p>
    <w:p>
      <w:pPr>
        <w:numPr>
          <w:ilvl w:val="0"/>
          <w:numId w:val="1"/>
        </w:numPr>
        <w:ind w:left="0" w:leftChars="0" w:firstLine="220" w:firstLineChars="0"/>
        <w:rPr>
          <w:rFonts w:ascii="黑体" w:hAnsi="黑体" w:eastAsia="黑体"/>
          <w:sz w:val="32"/>
          <w:szCs w:val="32"/>
        </w:rPr>
      </w:pPr>
      <w:r>
        <w:rPr>
          <w:rFonts w:hint="eastAsia" w:ascii="黑体" w:hAnsi="黑体" w:eastAsia="黑体"/>
          <w:sz w:val="32"/>
          <w:szCs w:val="32"/>
          <w:lang w:eastAsia="zh-CN"/>
        </w:rPr>
        <w:t>项目技术、服务</w:t>
      </w:r>
      <w:r>
        <w:rPr>
          <w:rFonts w:hint="eastAsia" w:ascii="黑体" w:hAnsi="黑体" w:eastAsia="黑体"/>
          <w:sz w:val="32"/>
          <w:szCs w:val="32"/>
        </w:rPr>
        <w:t>要求</w:t>
      </w:r>
    </w:p>
    <w:p>
      <w:pPr>
        <w:numPr>
          <w:ilvl w:val="0"/>
          <w:numId w:val="2"/>
        </w:numPr>
        <w:ind w:left="0" w:leftChars="0" w:firstLine="420" w:firstLineChars="0"/>
        <w:rPr>
          <w:rFonts w:ascii="楷体" w:hAnsi="楷体" w:eastAsia="楷体"/>
          <w:sz w:val="28"/>
          <w:szCs w:val="28"/>
        </w:rPr>
      </w:pPr>
      <w:r>
        <w:rPr>
          <w:rFonts w:hint="eastAsia" w:ascii="楷体" w:hAnsi="楷体" w:eastAsia="楷体"/>
          <w:sz w:val="28"/>
          <w:szCs w:val="28"/>
        </w:rPr>
        <w:t>服务内容</w:t>
      </w:r>
    </w:p>
    <w:p>
      <w:pPr>
        <w:pStyle w:val="4"/>
        <w:keepNext w:val="0"/>
        <w:keepLines w:val="0"/>
        <w:pageBreakBefore w:val="0"/>
        <w:widowControl w:val="0"/>
        <w:kinsoku/>
        <w:wordWrap/>
        <w:overflowPunct/>
        <w:topLinePunct w:val="0"/>
        <w:autoSpaceDE/>
        <w:autoSpaceDN/>
        <w:bidi w:val="0"/>
        <w:adjustRightInd/>
        <w:snapToGrid/>
        <w:spacing w:after="0" w:line="360" w:lineRule="auto"/>
        <w:ind w:firstLine="560" w:firstLineChars="200"/>
        <w:textAlignment w:val="auto"/>
        <w:rPr>
          <w:color w:val="auto"/>
        </w:rPr>
      </w:pPr>
      <w:r>
        <w:rPr>
          <w:rFonts w:hint="eastAsia" w:ascii="宋体" w:hAnsi="宋体" w:eastAsia="宋体" w:cs="宋体"/>
          <w:b w:val="0"/>
          <w:bCs w:val="0"/>
          <w:color w:val="auto"/>
          <w:kern w:val="2"/>
          <w:sz w:val="28"/>
          <w:szCs w:val="28"/>
          <w:lang w:val="en-US" w:eastAsia="zh-CN" w:bidi="ar-SA"/>
        </w:rPr>
        <w:t>C23010000</w:t>
      </w:r>
      <w:r>
        <w:rPr>
          <w:rFonts w:hint="eastAsia" w:ascii="宋体" w:hAnsi="宋体"/>
          <w:b w:val="0"/>
          <w:bCs w:val="0"/>
          <w:color w:val="auto"/>
          <w:sz w:val="28"/>
          <w:szCs w:val="28"/>
          <w:lang w:eastAsia="zh-CN"/>
        </w:rPr>
        <w:t>法律服务（法律鉴证和咨询除外），详见下表：</w:t>
      </w:r>
    </w:p>
    <w:tbl>
      <w:tblPr>
        <w:tblStyle w:val="9"/>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8"/>
        <w:gridCol w:w="2190"/>
        <w:gridCol w:w="5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right"/>
        </w:trPr>
        <w:tc>
          <w:tcPr>
            <w:tcW w:w="758" w:type="dxa"/>
            <w:noWrap w:val="0"/>
            <w:vAlign w:val="center"/>
          </w:tcPr>
          <w:p>
            <w:pPr>
              <w:jc w:val="center"/>
              <w:rPr>
                <w:rFonts w:hint="eastAsia"/>
                <w:b w:val="0"/>
                <w:bCs w:val="0"/>
                <w:sz w:val="24"/>
                <w:szCs w:val="24"/>
                <w:lang w:eastAsia="zh-CN"/>
              </w:rPr>
            </w:pPr>
            <w:r>
              <w:rPr>
                <w:rFonts w:hint="eastAsia"/>
                <w:b w:val="0"/>
                <w:bCs w:val="0"/>
                <w:sz w:val="24"/>
                <w:szCs w:val="24"/>
                <w:lang w:eastAsia="zh-CN"/>
              </w:rPr>
              <w:t>序号</w:t>
            </w:r>
          </w:p>
        </w:tc>
        <w:tc>
          <w:tcPr>
            <w:tcW w:w="2190" w:type="dxa"/>
            <w:noWrap w:val="0"/>
            <w:vAlign w:val="center"/>
          </w:tcPr>
          <w:p>
            <w:pPr>
              <w:jc w:val="center"/>
              <w:rPr>
                <w:rFonts w:hint="eastAsia"/>
                <w:b w:val="0"/>
                <w:bCs w:val="0"/>
                <w:sz w:val="24"/>
                <w:szCs w:val="24"/>
                <w:lang w:eastAsia="zh-CN"/>
              </w:rPr>
            </w:pPr>
            <w:r>
              <w:rPr>
                <w:rFonts w:hint="eastAsia"/>
                <w:b w:val="0"/>
                <w:bCs w:val="0"/>
                <w:sz w:val="24"/>
                <w:szCs w:val="24"/>
                <w:lang w:eastAsia="zh-CN"/>
              </w:rPr>
              <w:t>项目名称</w:t>
            </w:r>
          </w:p>
        </w:tc>
        <w:tc>
          <w:tcPr>
            <w:tcW w:w="5063" w:type="dxa"/>
            <w:noWrap w:val="0"/>
            <w:vAlign w:val="center"/>
          </w:tcPr>
          <w:p>
            <w:pPr>
              <w:jc w:val="center"/>
              <w:rPr>
                <w:rFonts w:hint="eastAsia"/>
                <w:b w:val="0"/>
                <w:bCs w:val="0"/>
                <w:sz w:val="24"/>
                <w:szCs w:val="24"/>
                <w:lang w:eastAsia="zh-CN"/>
              </w:rPr>
            </w:pPr>
            <w:r>
              <w:rPr>
                <w:rFonts w:hint="eastAsia"/>
                <w:b w:val="0"/>
                <w:bCs w:val="0"/>
                <w:sz w:val="24"/>
                <w:szCs w:val="24"/>
                <w:lang w:eastAsia="zh-CN"/>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58" w:type="dxa"/>
            <w:noWrap w:val="0"/>
            <w:vAlign w:val="center"/>
          </w:tcPr>
          <w:p>
            <w:pPr>
              <w:jc w:val="center"/>
              <w:rPr>
                <w:rFonts w:hint="eastAsia"/>
                <w:sz w:val="24"/>
                <w:szCs w:val="24"/>
                <w:lang w:val="en-US" w:eastAsia="zh-CN"/>
              </w:rPr>
            </w:pPr>
            <w:r>
              <w:rPr>
                <w:rFonts w:hint="eastAsia"/>
                <w:sz w:val="24"/>
                <w:szCs w:val="24"/>
                <w:lang w:val="en-US" w:eastAsia="zh-CN"/>
              </w:rPr>
              <w:t>1</w:t>
            </w:r>
          </w:p>
        </w:tc>
        <w:tc>
          <w:tcPr>
            <w:tcW w:w="2190" w:type="dxa"/>
            <w:noWrap w:val="0"/>
            <w:vAlign w:val="center"/>
          </w:tcPr>
          <w:p>
            <w:pPr>
              <w:jc w:val="both"/>
              <w:rPr>
                <w:rFonts w:hint="eastAsia"/>
                <w:sz w:val="24"/>
                <w:szCs w:val="24"/>
                <w:lang w:eastAsia="zh-CN"/>
              </w:rPr>
            </w:pPr>
            <w:r>
              <w:rPr>
                <w:rFonts w:hint="eastAsia"/>
                <w:sz w:val="24"/>
                <w:szCs w:val="24"/>
                <w:lang w:eastAsia="zh-CN"/>
              </w:rPr>
              <w:t>法律诉讼服务</w:t>
            </w:r>
          </w:p>
        </w:tc>
        <w:tc>
          <w:tcPr>
            <w:tcW w:w="5063" w:type="dxa"/>
            <w:noWrap w:val="0"/>
            <w:vAlign w:val="center"/>
          </w:tcPr>
          <w:p>
            <w:pPr>
              <w:jc w:val="both"/>
              <w:rPr>
                <w:rFonts w:hint="eastAsia"/>
                <w:sz w:val="24"/>
                <w:szCs w:val="24"/>
                <w:lang w:eastAsia="zh-CN"/>
              </w:rPr>
            </w:pPr>
            <w:r>
              <w:rPr>
                <w:rFonts w:hint="eastAsia"/>
                <w:sz w:val="24"/>
                <w:szCs w:val="24"/>
                <w:lang w:val="en-US" w:eastAsia="zh-CN"/>
              </w:rPr>
              <w:t>包括：刑事诉讼法律服务；民事诉讼法律服务；行政诉讼法律服务；涉外诉讼法律服务；其它法律诉讼服务。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right"/>
        </w:trPr>
        <w:tc>
          <w:tcPr>
            <w:tcW w:w="758" w:type="dxa"/>
            <w:noWrap w:val="0"/>
            <w:vAlign w:val="center"/>
          </w:tcPr>
          <w:p>
            <w:pPr>
              <w:jc w:val="center"/>
              <w:rPr>
                <w:rFonts w:hint="eastAsia"/>
                <w:sz w:val="24"/>
                <w:szCs w:val="24"/>
                <w:lang w:val="en-US" w:eastAsia="zh-CN"/>
              </w:rPr>
            </w:pPr>
            <w:r>
              <w:rPr>
                <w:rFonts w:hint="eastAsia"/>
                <w:sz w:val="24"/>
                <w:szCs w:val="24"/>
                <w:lang w:val="en-US" w:eastAsia="zh-CN"/>
              </w:rPr>
              <w:t>2</w:t>
            </w:r>
          </w:p>
        </w:tc>
        <w:tc>
          <w:tcPr>
            <w:tcW w:w="2190" w:type="dxa"/>
            <w:noWrap w:val="0"/>
            <w:vAlign w:val="center"/>
          </w:tcPr>
          <w:p>
            <w:pPr>
              <w:jc w:val="both"/>
              <w:rPr>
                <w:rFonts w:hint="eastAsia"/>
                <w:sz w:val="24"/>
                <w:szCs w:val="24"/>
                <w:lang w:eastAsia="zh-CN"/>
              </w:rPr>
            </w:pPr>
            <w:r>
              <w:rPr>
                <w:rFonts w:hint="eastAsia"/>
                <w:sz w:val="24"/>
                <w:szCs w:val="24"/>
                <w:lang w:eastAsia="zh-CN"/>
              </w:rPr>
              <w:t>知识产权法律服务</w:t>
            </w:r>
          </w:p>
        </w:tc>
        <w:tc>
          <w:tcPr>
            <w:tcW w:w="5063" w:type="dxa"/>
            <w:noWrap w:val="0"/>
            <w:vAlign w:val="center"/>
          </w:tcPr>
          <w:p>
            <w:pPr>
              <w:jc w:val="both"/>
              <w:rPr>
                <w:rFonts w:hint="eastAsia"/>
                <w:sz w:val="24"/>
                <w:szCs w:val="24"/>
                <w:lang w:eastAsia="zh-CN"/>
              </w:rPr>
            </w:pPr>
            <w:r>
              <w:rPr>
                <w:rFonts w:hint="eastAsia"/>
                <w:sz w:val="24"/>
                <w:szCs w:val="24"/>
                <w:lang w:eastAsia="zh-CN"/>
              </w:rPr>
              <w:t>包括</w:t>
            </w:r>
            <w:r>
              <w:rPr>
                <w:rFonts w:hint="eastAsia"/>
                <w:sz w:val="24"/>
                <w:szCs w:val="24"/>
                <w:lang w:val="en-US" w:eastAsia="zh-CN"/>
              </w:rPr>
              <w:t>：</w:t>
            </w:r>
            <w:r>
              <w:rPr>
                <w:rFonts w:hint="eastAsia"/>
                <w:sz w:val="24"/>
                <w:szCs w:val="24"/>
                <w:lang w:eastAsia="zh-CN"/>
              </w:rPr>
              <w:t>商标权、专利权、代理申请等法律服务。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58" w:type="dxa"/>
            <w:noWrap w:val="0"/>
            <w:vAlign w:val="center"/>
          </w:tcPr>
          <w:p>
            <w:pPr>
              <w:jc w:val="center"/>
              <w:rPr>
                <w:rFonts w:hint="eastAsia"/>
                <w:sz w:val="24"/>
                <w:szCs w:val="24"/>
                <w:lang w:val="en-US" w:eastAsia="zh-CN"/>
              </w:rPr>
            </w:pPr>
            <w:r>
              <w:rPr>
                <w:rFonts w:hint="eastAsia"/>
                <w:sz w:val="24"/>
                <w:szCs w:val="24"/>
                <w:lang w:val="en-US" w:eastAsia="zh-CN"/>
              </w:rPr>
              <w:t>3</w:t>
            </w:r>
          </w:p>
        </w:tc>
        <w:tc>
          <w:tcPr>
            <w:tcW w:w="2190" w:type="dxa"/>
            <w:noWrap w:val="0"/>
            <w:vAlign w:val="center"/>
          </w:tcPr>
          <w:p>
            <w:pPr>
              <w:jc w:val="both"/>
              <w:rPr>
                <w:rFonts w:hint="eastAsia"/>
                <w:sz w:val="24"/>
                <w:szCs w:val="24"/>
                <w:lang w:eastAsia="zh-CN"/>
              </w:rPr>
            </w:pPr>
            <w:r>
              <w:rPr>
                <w:rFonts w:hint="eastAsia"/>
                <w:sz w:val="24"/>
                <w:szCs w:val="24"/>
                <w:lang w:eastAsia="zh-CN"/>
              </w:rPr>
              <w:t>法律文件代理服务</w:t>
            </w:r>
          </w:p>
        </w:tc>
        <w:tc>
          <w:tcPr>
            <w:tcW w:w="5063" w:type="dxa"/>
            <w:noWrap w:val="0"/>
            <w:vAlign w:val="center"/>
          </w:tcPr>
          <w:p>
            <w:pPr>
              <w:jc w:val="both"/>
              <w:rPr>
                <w:rFonts w:hint="eastAsia"/>
                <w:sz w:val="24"/>
                <w:szCs w:val="24"/>
                <w:lang w:eastAsia="zh-CN"/>
              </w:rPr>
            </w:pPr>
            <w:r>
              <w:rPr>
                <w:rFonts w:hint="eastAsia"/>
                <w:sz w:val="24"/>
                <w:szCs w:val="24"/>
                <w:lang w:eastAsia="zh-CN"/>
              </w:rPr>
              <w:t>包括：合同文书代理服务；遗嘱文书代理服务；财产文书代理服务；涉外法律文书代理服务；其它法律文书代理服务。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58" w:type="dxa"/>
            <w:noWrap w:val="0"/>
            <w:vAlign w:val="center"/>
          </w:tcPr>
          <w:p>
            <w:pPr>
              <w:jc w:val="center"/>
              <w:rPr>
                <w:rFonts w:hint="eastAsia"/>
                <w:sz w:val="24"/>
                <w:szCs w:val="24"/>
                <w:lang w:val="en-US" w:eastAsia="zh-CN"/>
              </w:rPr>
            </w:pPr>
            <w:r>
              <w:rPr>
                <w:rFonts w:hint="eastAsia"/>
                <w:sz w:val="24"/>
                <w:szCs w:val="24"/>
                <w:lang w:val="en-US" w:eastAsia="zh-CN"/>
              </w:rPr>
              <w:t>4</w:t>
            </w:r>
          </w:p>
        </w:tc>
        <w:tc>
          <w:tcPr>
            <w:tcW w:w="2190" w:type="dxa"/>
            <w:noWrap w:val="0"/>
            <w:vAlign w:val="center"/>
          </w:tcPr>
          <w:p>
            <w:pPr>
              <w:jc w:val="both"/>
              <w:rPr>
                <w:rFonts w:hint="eastAsia"/>
                <w:sz w:val="24"/>
                <w:szCs w:val="24"/>
                <w:lang w:eastAsia="zh-CN"/>
              </w:rPr>
            </w:pPr>
            <w:r>
              <w:rPr>
                <w:rFonts w:hint="eastAsia"/>
                <w:sz w:val="24"/>
                <w:szCs w:val="24"/>
                <w:lang w:eastAsia="zh-CN"/>
              </w:rPr>
              <w:t>公证服务</w:t>
            </w:r>
          </w:p>
        </w:tc>
        <w:tc>
          <w:tcPr>
            <w:tcW w:w="5063" w:type="dxa"/>
            <w:noWrap w:val="0"/>
            <w:vAlign w:val="center"/>
          </w:tcPr>
          <w:p>
            <w:pPr>
              <w:jc w:val="both"/>
              <w:rPr>
                <w:sz w:val="24"/>
                <w:szCs w:val="24"/>
              </w:rPr>
            </w:pPr>
            <w:r>
              <w:rPr>
                <w:rFonts w:hint="eastAsia"/>
                <w:sz w:val="24"/>
                <w:szCs w:val="24"/>
                <w:lang w:eastAsia="zh-CN"/>
              </w:rPr>
              <w:t>包括：契约公证服务；遗嘱公证服务；财产公证服务；文件、证明公证服务；身份及社会关系公证服务；公益活动公证服务；其它公证服务。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58" w:type="dxa"/>
            <w:noWrap w:val="0"/>
            <w:vAlign w:val="center"/>
          </w:tcPr>
          <w:p>
            <w:pPr>
              <w:jc w:val="center"/>
              <w:rPr>
                <w:rFonts w:hint="eastAsia"/>
                <w:sz w:val="24"/>
                <w:szCs w:val="24"/>
                <w:lang w:val="en-US" w:eastAsia="zh-CN"/>
              </w:rPr>
            </w:pPr>
            <w:r>
              <w:rPr>
                <w:rFonts w:hint="eastAsia"/>
                <w:sz w:val="24"/>
                <w:szCs w:val="24"/>
                <w:lang w:val="en-US" w:eastAsia="zh-CN"/>
              </w:rPr>
              <w:t>5</w:t>
            </w:r>
          </w:p>
        </w:tc>
        <w:tc>
          <w:tcPr>
            <w:tcW w:w="2190" w:type="dxa"/>
            <w:noWrap w:val="0"/>
            <w:vAlign w:val="center"/>
          </w:tcPr>
          <w:p>
            <w:pPr>
              <w:jc w:val="both"/>
              <w:rPr>
                <w:rFonts w:hint="eastAsia"/>
                <w:sz w:val="24"/>
                <w:szCs w:val="24"/>
                <w:lang w:eastAsia="zh-CN"/>
              </w:rPr>
            </w:pPr>
            <w:r>
              <w:rPr>
                <w:rFonts w:hint="eastAsia"/>
                <w:sz w:val="24"/>
                <w:szCs w:val="24"/>
                <w:lang w:eastAsia="zh-CN"/>
              </w:rPr>
              <w:t>仲裁服务</w:t>
            </w:r>
          </w:p>
        </w:tc>
        <w:tc>
          <w:tcPr>
            <w:tcW w:w="5063" w:type="dxa"/>
            <w:noWrap w:val="0"/>
            <w:vAlign w:val="center"/>
          </w:tcPr>
          <w:p>
            <w:pPr>
              <w:jc w:val="both"/>
              <w:rPr>
                <w:rFonts w:hint="eastAsia"/>
                <w:sz w:val="24"/>
                <w:szCs w:val="24"/>
                <w:lang w:eastAsia="zh-CN"/>
              </w:rPr>
            </w:pPr>
            <w:r>
              <w:rPr>
                <w:rFonts w:hint="eastAsia"/>
                <w:sz w:val="24"/>
                <w:szCs w:val="24"/>
                <w:lang w:eastAsia="zh-CN"/>
              </w:rPr>
              <w:t>包括：涉外仲裁服务；经济仲裁服务；劳动仲裁服务；专利等知识产权仲裁服务；土地权益仲裁服务；其它仲裁服务。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58" w:type="dxa"/>
            <w:noWrap w:val="0"/>
            <w:vAlign w:val="center"/>
          </w:tcPr>
          <w:p>
            <w:pPr>
              <w:jc w:val="center"/>
              <w:rPr>
                <w:rFonts w:hint="eastAsia"/>
                <w:sz w:val="24"/>
                <w:szCs w:val="24"/>
                <w:lang w:val="en-US" w:eastAsia="zh-CN"/>
              </w:rPr>
            </w:pPr>
            <w:r>
              <w:rPr>
                <w:rFonts w:hint="eastAsia"/>
                <w:sz w:val="24"/>
                <w:szCs w:val="24"/>
                <w:lang w:val="en-US" w:eastAsia="zh-CN"/>
              </w:rPr>
              <w:t>6</w:t>
            </w:r>
          </w:p>
        </w:tc>
        <w:tc>
          <w:tcPr>
            <w:tcW w:w="2190" w:type="dxa"/>
            <w:noWrap w:val="0"/>
            <w:vAlign w:val="center"/>
          </w:tcPr>
          <w:p>
            <w:pPr>
              <w:jc w:val="both"/>
              <w:rPr>
                <w:rFonts w:hint="eastAsia"/>
                <w:sz w:val="24"/>
                <w:szCs w:val="24"/>
                <w:lang w:eastAsia="zh-CN"/>
              </w:rPr>
            </w:pPr>
            <w:r>
              <w:rPr>
                <w:rFonts w:hint="eastAsia"/>
                <w:sz w:val="24"/>
                <w:szCs w:val="24"/>
                <w:lang w:eastAsia="zh-CN"/>
              </w:rPr>
              <w:t>调解服务</w:t>
            </w:r>
          </w:p>
        </w:tc>
        <w:tc>
          <w:tcPr>
            <w:tcW w:w="5063" w:type="dxa"/>
            <w:noWrap w:val="0"/>
            <w:vAlign w:val="center"/>
          </w:tcPr>
          <w:p>
            <w:pPr>
              <w:jc w:val="both"/>
              <w:rPr>
                <w:rFonts w:hint="eastAsia"/>
                <w:sz w:val="24"/>
                <w:szCs w:val="24"/>
                <w:lang w:eastAsia="zh-CN"/>
              </w:rPr>
            </w:pPr>
            <w:r>
              <w:rPr>
                <w:rFonts w:hint="eastAsia"/>
                <w:sz w:val="24"/>
                <w:szCs w:val="24"/>
                <w:lang w:eastAsia="zh-CN"/>
              </w:rPr>
              <w:t>包括：民事调解服务；劳资调解服务；其它调解服务。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right"/>
        </w:trPr>
        <w:tc>
          <w:tcPr>
            <w:tcW w:w="758" w:type="dxa"/>
            <w:noWrap w:val="0"/>
            <w:vAlign w:val="center"/>
          </w:tcPr>
          <w:p>
            <w:pPr>
              <w:jc w:val="center"/>
              <w:rPr>
                <w:rFonts w:hint="eastAsia"/>
                <w:sz w:val="24"/>
                <w:szCs w:val="24"/>
                <w:lang w:val="en-US" w:eastAsia="zh-CN"/>
              </w:rPr>
            </w:pPr>
            <w:r>
              <w:rPr>
                <w:rFonts w:hint="eastAsia"/>
                <w:sz w:val="24"/>
                <w:szCs w:val="24"/>
                <w:lang w:val="en-US" w:eastAsia="zh-CN"/>
              </w:rPr>
              <w:t>7</w:t>
            </w:r>
          </w:p>
        </w:tc>
        <w:tc>
          <w:tcPr>
            <w:tcW w:w="2190" w:type="dxa"/>
            <w:noWrap w:val="0"/>
            <w:vAlign w:val="center"/>
          </w:tcPr>
          <w:p>
            <w:pPr>
              <w:jc w:val="both"/>
              <w:rPr>
                <w:sz w:val="24"/>
                <w:szCs w:val="24"/>
              </w:rPr>
            </w:pPr>
            <w:r>
              <w:rPr>
                <w:rFonts w:hint="eastAsia"/>
                <w:sz w:val="24"/>
                <w:szCs w:val="24"/>
                <w:lang w:eastAsia="zh-CN"/>
              </w:rPr>
              <w:t>其它法律服务</w:t>
            </w:r>
          </w:p>
        </w:tc>
        <w:tc>
          <w:tcPr>
            <w:tcW w:w="5063" w:type="dxa"/>
            <w:noWrap w:val="0"/>
            <w:vAlign w:val="center"/>
          </w:tcPr>
          <w:p>
            <w:pPr>
              <w:jc w:val="both"/>
              <w:rPr>
                <w:rFonts w:hint="eastAsia"/>
                <w:sz w:val="24"/>
                <w:szCs w:val="24"/>
                <w:lang w:eastAsia="zh-CN"/>
              </w:rPr>
            </w:pPr>
            <w:r>
              <w:rPr>
                <w:rFonts w:hint="eastAsia"/>
                <w:sz w:val="24"/>
                <w:szCs w:val="24"/>
                <w:lang w:eastAsia="zh-CN"/>
              </w:rPr>
              <w:t>包括与法律有关的调查、取证、鉴定服务。</w:t>
            </w:r>
          </w:p>
        </w:tc>
      </w:tr>
    </w:tbl>
    <w:p>
      <w:pPr>
        <w:numPr>
          <w:ilvl w:val="0"/>
          <w:numId w:val="2"/>
        </w:numPr>
        <w:ind w:left="0" w:leftChars="0" w:firstLine="420" w:firstLineChars="0"/>
        <w:rPr>
          <w:rFonts w:hint="eastAsia" w:ascii="楷体" w:hAnsi="楷体" w:eastAsia="楷体"/>
          <w:sz w:val="28"/>
          <w:szCs w:val="28"/>
        </w:rPr>
      </w:pPr>
      <w:r>
        <w:rPr>
          <w:rFonts w:hint="eastAsia" w:ascii="楷体" w:hAnsi="楷体" w:eastAsia="楷体"/>
          <w:sz w:val="28"/>
          <w:szCs w:val="28"/>
        </w:rPr>
        <w:t>服务标准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供应商提供的服务应满足《中华人民共和国律师法》、《律师执业管理办法》、《中华全国律师协会执业行为规范》等法律法规和行业规范等规范性文件要求</w:t>
      </w:r>
      <w:r>
        <w:rPr>
          <w:rFonts w:hint="eastAsia" w:ascii="宋体" w:hAnsi="宋体" w:eastAsia="宋体" w:cs="宋体"/>
          <w:sz w:val="28"/>
          <w:szCs w:val="28"/>
          <w:lang w:eastAsia="zh-CN"/>
        </w:rPr>
        <w:t>。</w:t>
      </w:r>
    </w:p>
    <w:p>
      <w:pPr>
        <w:numPr>
          <w:ilvl w:val="0"/>
          <w:numId w:val="2"/>
        </w:numPr>
        <w:ind w:left="0" w:leftChars="0" w:firstLine="420" w:firstLineChars="0"/>
        <w:rPr>
          <w:rFonts w:hint="eastAsia" w:ascii="楷体" w:hAnsi="楷体" w:eastAsia="楷体"/>
          <w:sz w:val="28"/>
          <w:szCs w:val="28"/>
          <w:lang w:eastAsia="zh-CN"/>
        </w:rPr>
      </w:pPr>
      <w:r>
        <w:rPr>
          <w:rFonts w:hint="eastAsia" w:ascii="楷体" w:hAnsi="楷体" w:eastAsia="楷体"/>
          <w:sz w:val="28"/>
          <w:szCs w:val="28"/>
          <w:lang w:eastAsia="zh-CN"/>
        </w:rPr>
        <w:t>服务要求</w:t>
      </w:r>
    </w:p>
    <w:p>
      <w:pPr>
        <w:widowControl/>
        <w:snapToGrid w:val="0"/>
        <w:spacing w:line="360" w:lineRule="auto"/>
        <w:ind w:firstLine="562" w:firstLineChars="200"/>
        <w:jc w:val="left"/>
        <w:rPr>
          <w:rFonts w:hint="eastAsia" w:ascii="宋体" w:hAnsi="宋体" w:eastAsia="宋体" w:cs="宋体"/>
          <w:b/>
          <w:bCs/>
          <w:sz w:val="28"/>
          <w:szCs w:val="28"/>
        </w:rPr>
      </w:pPr>
      <w:r>
        <w:rPr>
          <w:rFonts w:hint="eastAsia" w:ascii="宋体" w:hAnsi="宋体" w:eastAsia="宋体" w:cs="宋体"/>
          <w:b/>
          <w:bCs/>
          <w:color w:val="auto"/>
          <w:sz w:val="28"/>
          <w:szCs w:val="28"/>
          <w:lang w:val="en-US" w:eastAsia="zh-CN"/>
        </w:rPr>
        <w:t>★</w:t>
      </w:r>
      <w:r>
        <w:rPr>
          <w:rFonts w:hint="eastAsia" w:ascii="宋体" w:hAnsi="宋体" w:eastAsia="宋体" w:cs="宋体"/>
          <w:b/>
          <w:bCs/>
          <w:sz w:val="28"/>
          <w:szCs w:val="28"/>
        </w:rPr>
        <w:t>1.</w:t>
      </w:r>
      <w:r>
        <w:rPr>
          <w:rFonts w:hint="eastAsia" w:ascii="宋体" w:hAnsi="宋体" w:eastAsia="宋体" w:cs="宋体"/>
          <w:b/>
          <w:bCs/>
          <w:sz w:val="28"/>
          <w:szCs w:val="28"/>
        </w:rPr>
        <w:t>供应商应指派专人负责框架协议政府采购项目并作为联系人。针对采购人的项目具体需求，指定1名从事律师行业有3年以上工作经验的律师为采购人提供法律服务</w:t>
      </w:r>
      <w:r>
        <w:rPr>
          <w:rFonts w:hint="eastAsia" w:ascii="宋体" w:hAnsi="宋体" w:eastAsia="宋体" w:cs="宋体"/>
          <w:b/>
          <w:bCs/>
          <w:sz w:val="28"/>
          <w:szCs w:val="28"/>
        </w:rPr>
        <w:t>。该律师近三年内无违法、违规行为，无行政机关及行业监督管理机构处罚、处分的记录。</w:t>
      </w:r>
      <w:r>
        <w:rPr>
          <w:rFonts w:hint="eastAsia" w:ascii="宋体" w:hAnsi="宋体" w:eastAsia="宋体" w:cs="宋体"/>
          <w:b/>
          <w:bCs/>
          <w:sz w:val="28"/>
          <w:szCs w:val="28"/>
        </w:rPr>
        <w:t>供应商需提供拟投入团队人员的相关资料，内容包括并不限于人员数量、资格证明、执业年限、经历等内容。（提供文字说明以及相关证明资料）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2.律师不能胜任采购人安排的工作的，采购人有权要求更换律师。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3.律师在担任常年法律顾问期间，不得为采购人单位的职工个人提供任何不利于采购人的咨询意见。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4.律师在办理涉及采购人的对抗性案件或者交易活动期间，未经采购人同意，不得与采购人具有法律上利益冲突的另一方建立新的法律顾问关系或者担任其代理人。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5.律师对其获知的采购人国家机密或商业秘密负有保密责任，非由法律规定或者采购人同意，不得向任何第三方披露。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6.律师不得利用在工作期间获得的非公开信息或者便利条件，为本人及所在单位或者他人牟取利益。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7.对采购人业务应当单独建档，应当保存完整的工作记录，对涉及采购人的原始证据、法律文件和财物应当妥善保管。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8.更换采购人服务律师，应取得采购人的同意。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9.</w:t>
      </w:r>
      <w:r>
        <w:rPr>
          <w:rFonts w:hint="eastAsia" w:ascii="宋体" w:hAnsi="宋体" w:eastAsia="宋体" w:cs="宋体"/>
          <w:sz w:val="28"/>
          <w:szCs w:val="28"/>
        </w:rPr>
        <w:t>供应商在为采购人提供法律服务期间，对于采购人进入诉讼或仲裁阶段的法律事务，需要律师出庭的，采购人应与供应商另行签订委托代理合同，出具授权委托书，并向供应商另行支付代理费</w:t>
      </w:r>
      <w:r>
        <w:rPr>
          <w:rFonts w:hint="eastAsia" w:ascii="宋体" w:hAnsi="宋体" w:eastAsia="宋体" w:cs="宋体"/>
          <w:sz w:val="28"/>
          <w:szCs w:val="28"/>
          <w:lang w:eastAsia="zh-CN"/>
        </w:rPr>
        <w:t>，</w:t>
      </w:r>
      <w:r>
        <w:rPr>
          <w:rFonts w:hint="eastAsia" w:ascii="宋体" w:hAnsi="宋体"/>
          <w:color w:val="auto"/>
          <w:sz w:val="28"/>
          <w:szCs w:val="28"/>
          <w:lang w:eastAsia="zh-CN"/>
        </w:rPr>
        <w:t>供应商</w:t>
      </w:r>
      <w:r>
        <w:rPr>
          <w:rFonts w:hint="eastAsia" w:ascii="宋体" w:hAnsi="宋体"/>
          <w:color w:val="auto"/>
          <w:sz w:val="28"/>
          <w:szCs w:val="28"/>
        </w:rPr>
        <w:t>应优惠收费</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0</w:t>
      </w:r>
      <w:r>
        <w:rPr>
          <w:rFonts w:hint="eastAsia" w:ascii="宋体" w:hAnsi="宋体" w:eastAsia="宋体" w:cs="宋体"/>
          <w:sz w:val="28"/>
          <w:szCs w:val="28"/>
        </w:rPr>
        <w:t>.法律服务方式：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律师不定期到采购人办公场所处理法律事务。双方约定以电话、传真、邮寄、E-mail等方式联系有关法律事务，按照要求需律师出具书面意见时，律师签字确认。当采购人遇到法律事务时，律师在接到采购人的通知后应及时到场处理委托的法律事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（2）如果采购人有要求，供应商能够派出律师，按采购人作息时间常驻采购人办公场所，专职负责采购人的相关法律业务。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rPr>
        <w:t>供应商</w:t>
      </w:r>
      <w:r>
        <w:rPr>
          <w:rFonts w:hint="eastAsia" w:ascii="宋体" w:hAnsi="宋体" w:eastAsia="宋体" w:cs="宋体"/>
          <w:sz w:val="28"/>
          <w:szCs w:val="28"/>
          <w:lang w:eastAsia="zh-CN"/>
        </w:rPr>
        <w:t>入围</w:t>
      </w:r>
      <w:r>
        <w:rPr>
          <w:rFonts w:hint="eastAsia" w:ascii="宋体" w:hAnsi="宋体" w:eastAsia="宋体" w:cs="宋体"/>
          <w:sz w:val="28"/>
          <w:szCs w:val="28"/>
        </w:rPr>
        <w:t>后需入驻</w:t>
      </w:r>
      <w:r>
        <w:rPr>
          <w:rFonts w:hint="eastAsia" w:ascii="宋体" w:hAnsi="宋体" w:eastAsia="宋体" w:cs="宋体"/>
          <w:sz w:val="28"/>
          <w:szCs w:val="28"/>
          <w:lang w:eastAsia="zh-CN"/>
        </w:rPr>
        <w:t>黄石市（大冶市）</w:t>
      </w:r>
      <w:r>
        <w:rPr>
          <w:rFonts w:hint="eastAsia" w:ascii="宋体" w:hAnsi="宋体" w:eastAsia="宋体" w:cs="宋体"/>
          <w:sz w:val="28"/>
          <w:szCs w:val="28"/>
        </w:rPr>
        <w:t>政府采购电子商城</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12.</w:t>
      </w:r>
      <w:r>
        <w:rPr>
          <w:rFonts w:hint="eastAsia" w:ascii="汉仪叶叶相思体简" w:hAnsi="汉仪叶叶相思体简" w:eastAsia="汉仪叶叶相思体简" w:cs="汉仪叶叶相思体简"/>
          <w:b/>
          <w:bCs/>
          <w:color w:val="auto"/>
          <w:sz w:val="28"/>
          <w:szCs w:val="28"/>
          <w:lang w:val="en-US" w:eastAsia="zh-CN"/>
        </w:rPr>
        <w:t>★</w:t>
      </w:r>
      <w:r>
        <w:rPr>
          <w:rFonts w:hint="eastAsia" w:ascii="宋体" w:hAnsi="宋体" w:eastAsia="宋体" w:cs="宋体"/>
          <w:b/>
          <w:bCs/>
          <w:sz w:val="28"/>
          <w:szCs w:val="28"/>
          <w:lang w:val="en-US" w:eastAsia="zh-CN"/>
        </w:rPr>
        <w:t>严格依据征集文件要求和响应文件的承诺，向市直各级单位提供服务。不实行任何形式的不合理限制，提出任何附加条款。全面履行投标承诺，圆满完成市直各级单位的相关服务工作，确保质量，提供快捷、方便、满意的服务。</w:t>
      </w:r>
      <w:r>
        <w:rPr>
          <w:rFonts w:hint="eastAsia"/>
          <w:b/>
          <w:bCs/>
          <w:color w:val="auto"/>
          <w:sz w:val="28"/>
          <w:szCs w:val="28"/>
          <w:lang w:eastAsia="zh-CN"/>
        </w:rPr>
        <w:t>（提供承诺函）</w:t>
      </w:r>
    </w:p>
    <w:p>
      <w:pPr>
        <w:numPr>
          <w:ilvl w:val="0"/>
          <w:numId w:val="1"/>
        </w:numPr>
        <w:ind w:left="0" w:leftChars="0" w:firstLine="220" w:firstLineChars="0"/>
        <w:rPr>
          <w:rFonts w:hint="eastAsia" w:ascii="黑体" w:hAnsi="黑体" w:eastAsia="黑体"/>
          <w:sz w:val="32"/>
          <w:szCs w:val="32"/>
          <w:lang w:eastAsia="zh-CN"/>
        </w:rPr>
      </w:pPr>
      <w:r>
        <w:rPr>
          <w:rFonts w:hint="eastAsia" w:ascii="黑体" w:hAnsi="黑体" w:eastAsia="黑体"/>
          <w:sz w:val="32"/>
          <w:szCs w:val="32"/>
          <w:lang w:eastAsia="zh-CN"/>
        </w:rPr>
        <w:t>商务要求</w:t>
      </w:r>
    </w:p>
    <w:p>
      <w:pPr>
        <w:numPr>
          <w:ilvl w:val="0"/>
          <w:numId w:val="3"/>
        </w:numPr>
        <w:ind w:left="0" w:leftChars="0" w:firstLine="420" w:firstLineChars="0"/>
        <w:rPr>
          <w:rFonts w:hint="eastAsia" w:ascii="楷体" w:hAnsi="楷体" w:eastAsia="楷体"/>
          <w:sz w:val="28"/>
          <w:szCs w:val="28"/>
          <w:lang w:eastAsia="zh-CN"/>
        </w:rPr>
      </w:pPr>
      <w:r>
        <w:rPr>
          <w:rFonts w:hint="eastAsia" w:ascii="楷体" w:hAnsi="楷体" w:eastAsia="楷体"/>
          <w:sz w:val="28"/>
          <w:szCs w:val="28"/>
          <w:lang w:eastAsia="zh-CN"/>
        </w:rPr>
        <w:t>框架协议履行期限：</w:t>
      </w:r>
      <w:r>
        <w:rPr>
          <w:rFonts w:hint="eastAsia" w:eastAsia="宋体"/>
          <w:color w:val="auto"/>
          <w:sz w:val="28"/>
          <w:szCs w:val="28"/>
          <w:lang w:eastAsia="zh-CN"/>
        </w:rPr>
        <w:t>自框架协议签订之日起至202</w:t>
      </w:r>
      <w:r>
        <w:rPr>
          <w:rFonts w:hint="eastAsia" w:eastAsia="宋体"/>
          <w:color w:val="auto"/>
          <w:sz w:val="28"/>
          <w:szCs w:val="28"/>
          <w:lang w:val="en-US" w:eastAsia="zh-CN"/>
        </w:rPr>
        <w:t>5</w:t>
      </w:r>
      <w:r>
        <w:rPr>
          <w:rFonts w:hint="eastAsia" w:eastAsia="宋体"/>
          <w:color w:val="auto"/>
          <w:sz w:val="28"/>
          <w:szCs w:val="28"/>
          <w:lang w:eastAsia="zh-CN"/>
        </w:rPr>
        <w:t>年12月31日。</w:t>
      </w:r>
    </w:p>
    <w:p>
      <w:pPr>
        <w:numPr>
          <w:ilvl w:val="0"/>
          <w:numId w:val="3"/>
        </w:numPr>
        <w:ind w:left="0" w:leftChars="0" w:firstLine="420" w:firstLineChars="0"/>
        <w:rPr>
          <w:rFonts w:hint="eastAsia" w:ascii="宋体" w:hAnsi="宋体" w:eastAsia="宋体" w:cs="宋体"/>
          <w:bCs/>
          <w:sz w:val="28"/>
          <w:szCs w:val="28"/>
        </w:rPr>
      </w:pPr>
      <w:r>
        <w:rPr>
          <w:rFonts w:hint="eastAsia" w:ascii="楷体" w:hAnsi="楷体" w:eastAsia="楷体"/>
          <w:sz w:val="28"/>
          <w:szCs w:val="28"/>
          <w:lang w:eastAsia="zh-CN"/>
        </w:rPr>
        <w:t>服务地点：</w:t>
      </w:r>
      <w:r>
        <w:rPr>
          <w:rFonts w:hint="eastAsia" w:eastAsia="宋体"/>
          <w:color w:val="auto"/>
          <w:sz w:val="28"/>
          <w:szCs w:val="28"/>
          <w:lang w:eastAsia="zh-CN"/>
        </w:rPr>
        <w:t>采购人指定地点</w:t>
      </w:r>
      <w:r>
        <w:rPr>
          <w:rFonts w:hint="eastAsia" w:ascii="宋体" w:hAnsi="宋体" w:eastAsia="宋体" w:cs="宋体"/>
          <w:bCs/>
          <w:sz w:val="28"/>
          <w:szCs w:val="28"/>
        </w:rPr>
        <w:t>。</w:t>
      </w:r>
    </w:p>
    <w:p>
      <w:pPr>
        <w:numPr>
          <w:ilvl w:val="0"/>
          <w:numId w:val="3"/>
        </w:numPr>
        <w:ind w:left="0" w:leftChars="0" w:firstLine="420" w:firstLineChars="0"/>
        <w:rPr>
          <w:rFonts w:hint="eastAsia" w:ascii="宋体" w:hAnsi="宋体" w:eastAsia="宋体" w:cs="宋体"/>
          <w:bCs/>
          <w:sz w:val="28"/>
          <w:szCs w:val="28"/>
          <w:lang w:eastAsia="zh-CN"/>
        </w:rPr>
      </w:pPr>
      <w:r>
        <w:rPr>
          <w:rFonts w:hint="eastAsia" w:ascii="楷体" w:hAnsi="楷体" w:eastAsia="楷体"/>
          <w:sz w:val="28"/>
          <w:szCs w:val="28"/>
          <w:lang w:eastAsia="zh-CN"/>
        </w:rPr>
        <w:t>服务计量方式：</w:t>
      </w:r>
      <w:r>
        <w:rPr>
          <w:rFonts w:hint="eastAsia" w:ascii="宋体" w:hAnsi="宋体" w:eastAsia="宋体" w:cs="宋体"/>
          <w:bCs/>
          <w:sz w:val="28"/>
          <w:szCs w:val="28"/>
        </w:rPr>
        <w:t>按件或者计时计算服务数量，具体服务计量方式根据项目实际情况，由采购人和供应商协商确定</w:t>
      </w:r>
      <w:r>
        <w:rPr>
          <w:rFonts w:hint="eastAsia" w:ascii="宋体" w:hAnsi="宋体" w:eastAsia="宋体" w:cs="宋体"/>
          <w:bCs/>
          <w:sz w:val="28"/>
          <w:szCs w:val="28"/>
          <w:lang w:eastAsia="zh-CN"/>
        </w:rPr>
        <w:t>。</w:t>
      </w:r>
    </w:p>
    <w:p>
      <w:pPr>
        <w:numPr>
          <w:ilvl w:val="0"/>
          <w:numId w:val="3"/>
        </w:numPr>
        <w:ind w:left="0" w:leftChars="0" w:firstLine="420" w:firstLineChars="0"/>
        <w:rPr>
          <w:rFonts w:hint="eastAsia" w:ascii="楷体" w:hAnsi="楷体" w:eastAsia="楷体"/>
          <w:sz w:val="28"/>
          <w:szCs w:val="28"/>
          <w:lang w:eastAsia="zh-CN"/>
        </w:rPr>
      </w:pPr>
      <w:r>
        <w:rPr>
          <w:rFonts w:hint="eastAsia" w:ascii="楷体" w:hAnsi="楷体" w:eastAsia="楷体"/>
          <w:sz w:val="28"/>
          <w:szCs w:val="28"/>
          <w:lang w:eastAsia="zh-CN"/>
        </w:rPr>
        <w:t>报价要求</w:t>
      </w:r>
    </w:p>
    <w:p>
      <w:pPr>
        <w:keepNext w:val="0"/>
        <w:keepLines w:val="0"/>
        <w:pageBreakBefore w:val="0"/>
        <w:widowControl w:val="0"/>
        <w:numPr>
          <w:numId w:val="0"/>
        </w:numPr>
        <w:kinsoku/>
        <w:wordWrap/>
        <w:overflowPunct/>
        <w:topLinePunct w:val="0"/>
        <w:autoSpaceDE/>
        <w:autoSpaceDN/>
        <w:bidi w:val="0"/>
        <w:adjustRightInd/>
        <w:snapToGrid/>
        <w:ind w:left="5" w:leftChars="0" w:firstLine="630" w:firstLineChars="225"/>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供应商所有报价均应为含税价格，请供应商综合考虑服务的成本、效益等因素，结合以下情况，慎重填写本次报价内容；</w:t>
      </w:r>
    </w:p>
    <w:tbl>
      <w:tblPr>
        <w:tblStyle w:val="8"/>
        <w:tblpPr w:leftFromText="180" w:rightFromText="180" w:vertAnchor="text" w:horzAnchor="margin" w:tblpXSpec="center" w:tblpY="15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6"/>
        <w:gridCol w:w="1607"/>
        <w:gridCol w:w="2280"/>
        <w:gridCol w:w="2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960" w:type="pct"/>
            <w:noWrap w:val="0"/>
            <w:vAlign w:val="center"/>
          </w:tcPr>
          <w:p>
            <w:pPr>
              <w:jc w:val="center"/>
              <w:rPr>
                <w:rFonts w:hint="eastAsia" w:ascii="黑体" w:hAnsi="黑体" w:eastAsia="黑体" w:cs="黑体"/>
                <w:sz w:val="24"/>
                <w:szCs w:val="24"/>
              </w:rPr>
            </w:pPr>
            <w:r>
              <w:rPr>
                <w:rFonts w:hint="eastAsia" w:ascii="黑体" w:hAnsi="黑体" w:eastAsia="黑体" w:cs="黑体"/>
                <w:sz w:val="24"/>
                <w:szCs w:val="24"/>
                <w:lang w:eastAsia="zh-CN"/>
              </w:rPr>
              <w:t>服务</w:t>
            </w:r>
            <w:r>
              <w:rPr>
                <w:rFonts w:hint="eastAsia" w:ascii="黑体" w:hAnsi="黑体" w:eastAsia="黑体" w:cs="黑体"/>
                <w:sz w:val="24"/>
                <w:szCs w:val="24"/>
              </w:rPr>
              <w:t>项目</w:t>
            </w:r>
          </w:p>
        </w:tc>
        <w:tc>
          <w:tcPr>
            <w:tcW w:w="943" w:type="pct"/>
            <w:noWrap w:val="0"/>
            <w:vAlign w:val="center"/>
          </w:tcPr>
          <w:p>
            <w:pPr>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最高限价</w:t>
            </w:r>
          </w:p>
        </w:tc>
        <w:tc>
          <w:tcPr>
            <w:tcW w:w="1338" w:type="pct"/>
            <w:noWrap w:val="0"/>
            <w:vAlign w:val="center"/>
          </w:tcPr>
          <w:p>
            <w:pPr>
              <w:spacing w:line="240" w:lineRule="auto"/>
              <w:jc w:val="center"/>
              <w:rPr>
                <w:rFonts w:hint="eastAsia" w:ascii="黑体" w:hAnsi="黑体" w:eastAsia="黑体" w:cs="黑体"/>
                <w:b/>
                <w:bCs w:val="0"/>
                <w:sz w:val="24"/>
                <w:szCs w:val="24"/>
                <w:highlight w:val="none"/>
              </w:rPr>
            </w:pPr>
            <w:r>
              <w:rPr>
                <w:rFonts w:hint="eastAsia" w:ascii="黑体" w:hAnsi="黑体" w:eastAsia="黑体" w:cs="黑体"/>
                <w:b/>
                <w:bCs w:val="0"/>
                <w:sz w:val="24"/>
                <w:szCs w:val="24"/>
                <w:highlight w:val="none"/>
              </w:rPr>
              <w:t>折扣率（%）</w:t>
            </w:r>
          </w:p>
          <w:p>
            <w:pPr>
              <w:jc w:val="center"/>
              <w:rPr>
                <w:rFonts w:hint="eastAsia" w:ascii="黑体" w:hAnsi="黑体" w:eastAsia="黑体" w:cs="黑体"/>
                <w:sz w:val="24"/>
                <w:szCs w:val="24"/>
                <w:lang w:eastAsia="zh-CN"/>
              </w:rPr>
            </w:pPr>
            <w:r>
              <w:rPr>
                <w:rFonts w:hint="eastAsia" w:ascii="仿宋" w:hAnsi="仿宋" w:eastAsia="仿宋" w:cs="仿宋"/>
                <w:b w:val="0"/>
                <w:bCs/>
                <w:sz w:val="22"/>
                <w:szCs w:val="22"/>
                <w:highlight w:val="none"/>
                <w:lang w:eastAsia="zh-CN"/>
              </w:rPr>
              <w:t>（小数位保留两位小数）</w:t>
            </w:r>
          </w:p>
        </w:tc>
        <w:tc>
          <w:tcPr>
            <w:tcW w:w="1758" w:type="pct"/>
            <w:noWrap w:val="0"/>
            <w:vAlign w:val="center"/>
          </w:tcPr>
          <w:p>
            <w:pPr>
              <w:jc w:val="center"/>
              <w:rPr>
                <w:rFonts w:hint="eastAsia" w:ascii="黑体" w:hAnsi="黑体" w:eastAsia="黑体" w:cs="黑体"/>
                <w:sz w:val="24"/>
                <w:szCs w:val="24"/>
              </w:rPr>
            </w:pPr>
            <w:r>
              <w:rPr>
                <w:rFonts w:hint="eastAsia" w:ascii="黑体" w:hAnsi="黑体" w:eastAsia="黑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960" w:type="pct"/>
            <w:noWrap w:val="0"/>
            <w:vAlign w:val="center"/>
          </w:tcPr>
          <w:p>
            <w:pPr>
              <w:jc w:val="center"/>
              <w:rPr>
                <w:rFonts w:hint="eastAsia" w:ascii="黑体" w:hAnsi="黑体" w:eastAsia="黑体" w:cs="黑体"/>
                <w:sz w:val="24"/>
                <w:szCs w:val="24"/>
                <w:lang w:eastAsia="zh-CN"/>
              </w:rPr>
            </w:pPr>
          </w:p>
        </w:tc>
        <w:tc>
          <w:tcPr>
            <w:tcW w:w="943" w:type="pct"/>
            <w:noWrap w:val="0"/>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（本所收费标准</w:t>
            </w:r>
            <w:r>
              <w:rPr>
                <w:rFonts w:hint="eastAsia" w:ascii="仿宋" w:hAnsi="仿宋" w:eastAsia="仿宋" w:cs="仿宋"/>
                <w:sz w:val="24"/>
                <w:szCs w:val="24"/>
                <w:lang w:val="en-US" w:eastAsia="zh-CN"/>
              </w:rPr>
              <w:t>）</w:t>
            </w:r>
          </w:p>
        </w:tc>
        <w:tc>
          <w:tcPr>
            <w:tcW w:w="1338" w:type="pct"/>
            <w:noWrap w:val="0"/>
            <w:vAlign w:val="center"/>
          </w:tcPr>
          <w:p>
            <w:pPr>
              <w:ind w:firstLine="240" w:firstLineChars="100"/>
              <w:jc w:val="left"/>
              <w:rPr>
                <w:rFonts w:hint="eastAsia" w:ascii="仿宋" w:hAnsi="仿宋" w:eastAsia="仿宋" w:cs="仿宋"/>
                <w:sz w:val="24"/>
                <w:szCs w:val="24"/>
                <w:lang w:val="en-US" w:eastAsia="zh-CN"/>
              </w:rPr>
            </w:pPr>
            <w:r>
              <w:rPr>
                <w:rFonts w:hint="eastAsia" w:ascii="仿宋" w:hAnsi="仿宋" w:eastAsia="仿宋"/>
                <w:sz w:val="24"/>
                <w:szCs w:val="24"/>
                <w:u w:val="single"/>
                <w:lang w:eastAsia="zh-CN"/>
              </w:rPr>
              <w:t>　</w:t>
            </w:r>
            <w:r>
              <w:rPr>
                <w:rFonts w:hint="eastAsia" w:ascii="仿宋" w:hAnsi="仿宋" w:eastAsia="仿宋"/>
                <w:sz w:val="24"/>
                <w:szCs w:val="24"/>
                <w:u w:val="single"/>
                <w:lang w:val="en-US" w:eastAsia="zh-CN"/>
              </w:rPr>
              <w:t xml:space="preserve">    </w:t>
            </w:r>
            <w:r>
              <w:rPr>
                <w:rFonts w:hint="eastAsia" w:ascii="仿宋" w:hAnsi="仿宋" w:eastAsia="仿宋"/>
                <w:sz w:val="24"/>
                <w:szCs w:val="24"/>
              </w:rPr>
              <w:t>％</w:t>
            </w:r>
          </w:p>
        </w:tc>
        <w:tc>
          <w:tcPr>
            <w:tcW w:w="1758" w:type="pct"/>
            <w:noWrap w:val="0"/>
            <w:vAlign w:val="center"/>
          </w:tcPr>
          <w:p>
            <w:pPr>
              <w:jc w:val="left"/>
              <w:rPr>
                <w:rFonts w:hint="eastAsia" w:ascii="仿宋" w:hAnsi="仿宋" w:eastAsia="仿宋" w:cs="仿宋"/>
                <w:sz w:val="24"/>
                <w:szCs w:val="24"/>
                <w:lang w:eastAsia="zh-CN"/>
              </w:rPr>
            </w:pPr>
            <w:r>
              <w:rPr>
                <w:rFonts w:hint="eastAsia" w:ascii="仿宋" w:hAnsi="仿宋" w:eastAsia="仿宋" w:cs="仿宋"/>
                <w:sz w:val="22"/>
                <w:szCs w:val="22"/>
                <w:lang w:val="en-US" w:eastAsia="zh-CN"/>
              </w:rPr>
              <w:t>在本所收费标准上的折扣率</w:t>
            </w:r>
            <w:r>
              <w:rPr>
                <w:rFonts w:hint="default" w:ascii="仿宋" w:hAnsi="仿宋" w:eastAsia="仿宋" w:cs="仿宋"/>
                <w:sz w:val="22"/>
                <w:szCs w:val="22"/>
                <w:lang w:val="en-US" w:eastAsia="zh-CN"/>
              </w:rPr>
              <w:t>，折扣形式报价仅支持正向折扣，例如：填写60%时表示打6折，填写85%时表示打8.5折</w:t>
            </w:r>
            <w:r>
              <w:rPr>
                <w:rFonts w:hint="eastAsia" w:ascii="仿宋" w:hAnsi="仿宋" w:eastAsia="仿宋" w:cs="仿宋"/>
                <w:sz w:val="22"/>
                <w:szCs w:val="22"/>
                <w:lang w:val="en-US" w:eastAsia="zh-CN"/>
              </w:rPr>
              <w:t>，折扣最高不得超过100%。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960" w:type="pct"/>
            <w:noWrap w:val="0"/>
            <w:vAlign w:val="center"/>
          </w:tcPr>
          <w:p>
            <w:pPr>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合同履行期限</w:t>
            </w:r>
          </w:p>
        </w:tc>
        <w:tc>
          <w:tcPr>
            <w:tcW w:w="4039" w:type="pct"/>
            <w:gridSpan w:val="3"/>
            <w:noWrap w:val="0"/>
            <w:vAlign w:val="center"/>
          </w:tcPr>
          <w:p>
            <w:pPr>
              <w:jc w:val="center"/>
              <w:rPr>
                <w:sz w:val="24"/>
                <w:szCs w:val="24"/>
              </w:rPr>
            </w:pPr>
            <w:r>
              <w:rPr>
                <w:rFonts w:hint="eastAsia" w:ascii="黑体" w:hAnsi="黑体" w:eastAsia="黑体" w:cs="黑体"/>
                <w:color w:val="auto"/>
                <w:sz w:val="24"/>
                <w:szCs w:val="24"/>
                <w:highlight w:val="none"/>
                <w:lang w:eastAsia="zh-CN"/>
              </w:rPr>
              <w:t>框架协议签订之日起至</w:t>
            </w:r>
            <w:r>
              <w:rPr>
                <w:rFonts w:hint="eastAsia" w:ascii="黑体" w:hAnsi="黑体" w:eastAsia="黑体" w:cs="黑体"/>
                <w:color w:val="auto"/>
                <w:sz w:val="24"/>
                <w:szCs w:val="24"/>
                <w:highlight w:val="none"/>
                <w:lang w:val="en-US" w:eastAsia="zh-CN"/>
              </w:rPr>
              <w:t>2025年12月31日</w:t>
            </w:r>
          </w:p>
        </w:tc>
      </w:tr>
    </w:tbl>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5" w:firstLineChars="0"/>
        <w:textAlignment w:val="auto"/>
        <w:rPr>
          <w:rFonts w:hint="eastAsia" w:ascii="宋体" w:hAnsi="宋体" w:eastAsia="宋体" w:cs="宋体"/>
          <w:b/>
          <w:bCs/>
          <w:sz w:val="28"/>
          <w:szCs w:val="28"/>
          <w:lang w:val="en-US" w:eastAsia="zh-CN"/>
        </w:rPr>
      </w:pPr>
      <w:r>
        <w:rPr>
          <w:rFonts w:hint="eastAsia" w:ascii="汉仪叶叶相思体简" w:hAnsi="汉仪叶叶相思体简" w:eastAsia="汉仪叶叶相思体简" w:cs="汉仪叶叶相思体简"/>
          <w:b/>
          <w:bCs/>
          <w:color w:val="auto"/>
          <w:sz w:val="28"/>
          <w:szCs w:val="28"/>
          <w:lang w:val="en-US" w:eastAsia="zh-CN"/>
        </w:rPr>
        <w:t>★</w:t>
      </w:r>
      <w:r>
        <w:rPr>
          <w:rFonts w:hint="eastAsia" w:ascii="宋体" w:hAnsi="宋体" w:eastAsia="宋体" w:cs="宋体"/>
          <w:b/>
          <w:bCs/>
          <w:sz w:val="28"/>
          <w:szCs w:val="28"/>
          <w:lang w:val="en-US" w:eastAsia="zh-CN"/>
        </w:rPr>
        <w:t>各供应商提交响应文件时，应提供本所对市场通用的，且现行有效的服务收费项目、收费标准和收费方式，并加盖公章，接受征集人和采购人监督。</w:t>
      </w:r>
      <w:r>
        <w:rPr>
          <w:rFonts w:hint="eastAsia" w:ascii="宋体" w:hAnsi="宋体" w:eastAsia="宋体" w:cs="宋体"/>
          <w:b/>
          <w:bCs/>
          <w:sz w:val="28"/>
          <w:szCs w:val="28"/>
          <w:lang w:val="en-US" w:eastAsia="zh-CN"/>
        </w:rPr>
        <w:t>（提供复印件并加盖公章）</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5"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供应商提供的收费标准等文件要严格遵守《中华人民共和国律师法》、《中华人民共和国价格法》以及司法部《律师事务所管理办法》、《律师执业管理办法》、《基层法律服务所管理办法》、《基层法律服务工作者管理办法》、《关于进一步规范律师服务收费的意见》（司发通〔2021〕87 号）等相关法律法规的规定。</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5"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具体项目成交价格，根据采购人的法律服务项目工作量、工作难度、案件情况、所需额外服务成本等因素，结合各供应商公示的收费标准双方协商确定，但不得超出本次报价范围。</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5" w:firstLineChars="0"/>
        <w:textAlignment w:val="auto"/>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 xml:space="preserve">律师事务所应当遵守《律师服务收费管理办法》(发改价格[2006]611号)，加强对收费合同或者委托合同中收费条款的审核把关，除律师服务费、代委托人支付的费用、异地办案差旅费外，严禁以向司法人员、仲裁员疏通关系等为由收取所谓的“办案费”“顾问费”等任何其他费用。律师事务所在提供法律服务过程中代采购人支付的诉讼费、仲裁费、鉴定费、公证费、查档费、保全费、翻译费等费用，根据采购合同协商的方式支付，合同没有规定的，由采购人根据律所提供的有效证明据实另行支付。律师事务所应当向委托人提供律师服务收费清单，包括律师服务费、代委托人支付的费用以及异地办案差旅费，其中代委托人支付的费用及异地办案差旅费应当提供有效凭证。 </w:t>
      </w:r>
    </w:p>
    <w:p>
      <w:pPr>
        <w:numPr>
          <w:ilvl w:val="0"/>
          <w:numId w:val="1"/>
        </w:numPr>
        <w:ind w:left="0" w:leftChars="0" w:firstLine="220" w:firstLineChars="0"/>
        <w:rPr>
          <w:rFonts w:hint="eastAsia" w:ascii="黑体" w:hAnsi="黑体" w:eastAsia="黑体"/>
          <w:sz w:val="32"/>
          <w:szCs w:val="32"/>
          <w:lang w:val="zh-CN" w:eastAsia="zh-CN"/>
        </w:rPr>
      </w:pPr>
      <w:bookmarkStart w:id="0" w:name="_Toc272247708"/>
      <w:bookmarkStart w:id="1" w:name="_Toc278891605"/>
      <w:bookmarkStart w:id="2" w:name="_Toc12316"/>
      <w:bookmarkStart w:id="3" w:name="_Toc31654"/>
      <w:bookmarkStart w:id="4" w:name="_Toc4566"/>
      <w:bookmarkStart w:id="5" w:name="_Toc494561961"/>
      <w:r>
        <w:rPr>
          <w:rFonts w:hint="eastAsia" w:ascii="黑体" w:hAnsi="黑体" w:eastAsia="黑体"/>
          <w:sz w:val="32"/>
          <w:szCs w:val="32"/>
          <w:lang w:val="zh-CN" w:eastAsia="zh-CN"/>
        </w:rPr>
        <w:t>评</w:t>
      </w:r>
      <w:bookmarkEnd w:id="0"/>
      <w:bookmarkEnd w:id="1"/>
      <w:r>
        <w:rPr>
          <w:rFonts w:hint="eastAsia" w:ascii="黑体" w:hAnsi="黑体" w:eastAsia="黑体"/>
          <w:sz w:val="32"/>
          <w:szCs w:val="32"/>
          <w:lang w:val="zh-CN" w:eastAsia="zh-CN"/>
        </w:rPr>
        <w:t>审方法</w:t>
      </w:r>
      <w:bookmarkEnd w:id="2"/>
      <w:bookmarkEnd w:id="3"/>
      <w:bookmarkEnd w:id="4"/>
      <w:bookmarkEnd w:id="5"/>
    </w:p>
    <w:p>
      <w:pPr>
        <w:keepNext w:val="0"/>
        <w:keepLines w:val="0"/>
        <w:pageBreakBefore w:val="0"/>
        <w:widowControl w:val="0"/>
        <w:numPr>
          <w:ilvl w:val="0"/>
          <w:numId w:val="5"/>
        </w:numPr>
        <w:kinsoku/>
        <w:wordWrap/>
        <w:overflowPunct/>
        <w:topLinePunct w:val="0"/>
        <w:autoSpaceDE/>
        <w:autoSpaceDN/>
        <w:bidi w:val="0"/>
        <w:adjustRightInd/>
        <w:snapToGrid/>
        <w:ind w:left="0" w:leftChars="0" w:firstLine="425" w:firstLineChars="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本次征集活动采用“</w:t>
      </w:r>
      <w:r>
        <w:rPr>
          <w:rFonts w:hint="eastAsia" w:ascii="宋体" w:hAnsi="宋体" w:eastAsia="宋体" w:cs="宋体"/>
          <w:b/>
          <w:bCs/>
          <w:sz w:val="28"/>
          <w:szCs w:val="28"/>
          <w:lang w:val="zh-CN" w:eastAsia="zh-CN"/>
        </w:rPr>
        <w:t>价格优先法</w:t>
      </w:r>
      <w:r>
        <w:rPr>
          <w:rFonts w:hint="eastAsia" w:ascii="宋体" w:hAnsi="宋体" w:eastAsia="宋体" w:cs="宋体"/>
          <w:sz w:val="28"/>
          <w:szCs w:val="28"/>
          <w:lang w:val="zh-CN" w:eastAsia="zh-CN"/>
        </w:rPr>
        <w:t>”进行评审，供应商的报价多少决定能否成为入围供应商。（价格优先法：指对满足采购需求且响应报价不超过最高限制单价的货物、服务，按照响应报价从低到高排序，根据征集文件规定的淘汰率或者入围供应商数量上限，确定入围供应商的评审方法。）</w:t>
      </w:r>
    </w:p>
    <w:p>
      <w:pPr>
        <w:keepNext w:val="0"/>
        <w:keepLines w:val="0"/>
        <w:pageBreakBefore w:val="0"/>
        <w:widowControl w:val="0"/>
        <w:numPr>
          <w:ilvl w:val="0"/>
          <w:numId w:val="5"/>
        </w:numPr>
        <w:kinsoku/>
        <w:wordWrap/>
        <w:overflowPunct/>
        <w:topLinePunct w:val="0"/>
        <w:autoSpaceDE/>
        <w:autoSpaceDN/>
        <w:bidi w:val="0"/>
        <w:adjustRightInd/>
        <w:snapToGrid/>
        <w:ind w:left="0" w:leftChars="0" w:firstLine="425" w:firstLineChars="0"/>
        <w:textAlignment w:val="auto"/>
        <w:rPr>
          <w:rFonts w:hint="eastAsia" w:ascii="宋体" w:hAnsi="宋体" w:eastAsia="宋体" w:cs="宋体"/>
          <w:sz w:val="28"/>
          <w:szCs w:val="28"/>
          <w:lang w:val="zh-CN" w:eastAsia="zh-CN"/>
        </w:rPr>
      </w:pPr>
      <w:r>
        <w:rPr>
          <w:rFonts w:hint="eastAsia" w:ascii="宋体" w:hAnsi="宋体" w:eastAsia="宋体" w:cs="宋体"/>
          <w:b/>
          <w:bCs/>
          <w:sz w:val="28"/>
          <w:szCs w:val="28"/>
          <w:lang w:val="zh-CN" w:eastAsia="zh-CN"/>
        </w:rPr>
        <w:t>入围供应商的淘汰比例：20%，且至少淘汰一家供应商。</w:t>
      </w:r>
      <w:r>
        <w:rPr>
          <w:rFonts w:hint="eastAsia" w:ascii="宋体" w:hAnsi="宋体" w:eastAsia="宋体" w:cs="宋体"/>
          <w:sz w:val="28"/>
          <w:szCs w:val="28"/>
          <w:lang w:val="zh-CN" w:eastAsia="zh-CN"/>
        </w:rPr>
        <w:t>（提交响应文件和符合资格条件、实质性要求的供应商少于2家时，采购活动终止。）</w:t>
      </w:r>
    </w:p>
    <w:p>
      <w:pPr>
        <w:keepNext w:val="0"/>
        <w:keepLines w:val="0"/>
        <w:pageBreakBefore w:val="0"/>
        <w:widowControl/>
        <w:numPr>
          <w:ilvl w:val="0"/>
          <w:numId w:val="6"/>
        </w:numPr>
        <w:suppressLineNumbers w:val="0"/>
        <w:kinsoku/>
        <w:wordWrap/>
        <w:overflowPunct/>
        <w:topLinePunct w:val="0"/>
        <w:autoSpaceDE/>
        <w:autoSpaceDN/>
        <w:bidi w:val="0"/>
        <w:adjustRightInd/>
        <w:snapToGrid/>
        <w:ind w:left="425" w:leftChars="0" w:hanging="425" w:firstLineChars="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若计算的淘汰数非整数，则按照向上取整原则进行处理。即，淘汰数量=向上取整[供应商数量×20%]（示例：如有11家供应商投标，淘汰数量=向上取整[11×20%]=向上取整[2.2]=3,最终实际淘汰3 家供应商）； </w:t>
      </w:r>
    </w:p>
    <w:p>
      <w:pPr>
        <w:keepNext w:val="0"/>
        <w:keepLines w:val="0"/>
        <w:pageBreakBefore w:val="0"/>
        <w:widowControl/>
        <w:numPr>
          <w:ilvl w:val="0"/>
          <w:numId w:val="6"/>
        </w:numPr>
        <w:suppressLineNumbers w:val="0"/>
        <w:kinsoku/>
        <w:wordWrap/>
        <w:overflowPunct/>
        <w:topLinePunct w:val="0"/>
        <w:autoSpaceDE/>
        <w:autoSpaceDN/>
        <w:bidi w:val="0"/>
        <w:adjustRightInd/>
        <w:snapToGrid/>
        <w:ind w:left="425" w:leftChars="0" w:hanging="425" w:firstLineChars="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为防止报价趋同导致大量供应商进入淘汰名次（如：项目共计100家投标人参与投标，若70家报价为80％，30家报价为90％，则报价为90％的30家全部淘汰；若70家报价为80％，1家报价为89.99％，29家报价为90％，则报价为90％的29家全部淘汰），请供应商报价至小数点后二位数（如80.25％或95.32％等）。</w:t>
      </w:r>
    </w:p>
    <w:p>
      <w:pPr>
        <w:ind w:firstLine="645"/>
        <w:rPr>
          <w:rFonts w:hint="eastAsia" w:ascii="仿宋" w:hAnsi="仿宋" w:eastAsia="仿宋"/>
          <w:sz w:val="32"/>
          <w:szCs w:val="32"/>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sz w:val="28"/>
          <w:szCs w:val="28"/>
          <w:lang w:val="en-US" w:eastAsia="zh-CN"/>
        </w:rPr>
        <w:sectPr>
          <w:footerReference r:id="rId3" w:type="default"/>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注：有意向参加大冶市2024年度市直行政事业单位法律服务封闭式框架协议采购的供应商可加入交流群，后续工作通知，政策发布，业务交流等都将在交流群进行同步通知。</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drawing>
          <wp:inline distT="0" distB="0" distL="114300" distR="114300">
            <wp:extent cx="1991995" cy="3541395"/>
            <wp:effectExtent l="0" t="0" r="8255" b="1905"/>
            <wp:docPr id="1" name="图片 1" descr="800e1e6cf7b66a626048ce934edd1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00e1e6cf7b66a626048ce934edd1a5"/>
                    <pic:cNvPicPr>
                      <a:picLocks noChangeAspect="1"/>
                    </pic:cNvPicPr>
                  </pic:nvPicPr>
                  <pic:blipFill>
                    <a:blip r:embed="rId5"/>
                    <a:stretch>
                      <a:fillRect/>
                    </a:stretch>
                  </pic:blipFill>
                  <pic:spPr>
                    <a:xfrm>
                      <a:off x="0" y="0"/>
                      <a:ext cx="1991995" cy="3541395"/>
                    </a:xfrm>
                    <a:prstGeom prst="rect">
                      <a:avLst/>
                    </a:prstGeom>
                  </pic:spPr>
                </pic:pic>
              </a:graphicData>
            </a:graphic>
          </wp:inline>
        </w:drawing>
      </w:r>
      <w:bookmarkStart w:id="6" w:name="_GoBack"/>
      <w:bookmarkEnd w:id="6"/>
    </w:p>
    <w:p>
      <w:pPr>
        <w:ind w:firstLine="645"/>
        <w:rPr>
          <w:rFonts w:hint="eastAsia" w:ascii="仿宋" w:hAnsi="仿宋" w:eastAsia="仿宋"/>
          <w:sz w:val="32"/>
          <w:szCs w:val="32"/>
          <w:lang w:val="en-US" w:eastAsia="zh-CN"/>
        </w:rPr>
      </w:pPr>
    </w:p>
    <w:p>
      <w:pPr>
        <w:widowControl/>
        <w:snapToGrid w:val="0"/>
        <w:spacing w:line="520" w:lineRule="exact"/>
        <w:ind w:firstLine="640" w:firstLineChars="200"/>
        <w:jc w:val="left"/>
        <w:rPr>
          <w:rFonts w:hint="eastAsia" w:ascii="仿宋" w:hAnsi="仿宋" w:eastAsia="仿宋"/>
          <w:bCs/>
          <w:sz w:val="32"/>
          <w:szCs w:val="32"/>
        </w:rPr>
      </w:pPr>
    </w:p>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方正小标宋简体">
    <w:altName w:val="黑体"/>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汉仪叶叶相思体简">
    <w:altName w:val="思源黑体 Regular"/>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思源黑体 Regular">
    <w:panose1 w:val="020B0500000000000000"/>
    <w:charset w:val="86"/>
    <w:family w:val="auto"/>
    <w:pitch w:val="default"/>
    <w:sig w:usb0="30000003" w:usb1="2BDF3C10" w:usb2="00000016" w:usb3="00000000" w:csb0="602E0107" w:csb1="00000000"/>
  </w:font>
  <w:font w:name="时尚中黑简体">
    <w:panose1 w:val="01010104010101010101"/>
    <w:charset w:val="86"/>
    <w:family w:val="auto"/>
    <w:pitch w:val="default"/>
    <w:sig w:usb0="800002BF" w:usb1="184F6CF8"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B4C368"/>
    <w:multiLevelType w:val="singleLevel"/>
    <w:tmpl w:val="A7B4C368"/>
    <w:lvl w:ilvl="0" w:tentative="0">
      <w:start w:val="1"/>
      <w:numFmt w:val="decimal"/>
      <w:lvlText w:val="%1."/>
      <w:lvlJc w:val="left"/>
      <w:pPr>
        <w:ind w:left="425" w:hanging="425"/>
      </w:pPr>
      <w:rPr>
        <w:rFonts w:hint="default"/>
      </w:rPr>
    </w:lvl>
  </w:abstractNum>
  <w:abstractNum w:abstractNumId="1">
    <w:nsid w:val="D4E0D1BE"/>
    <w:multiLevelType w:val="singleLevel"/>
    <w:tmpl w:val="D4E0D1BE"/>
    <w:lvl w:ilvl="0" w:tentative="0">
      <w:start w:val="1"/>
      <w:numFmt w:val="chineseCounting"/>
      <w:suff w:val="nothing"/>
      <w:lvlText w:val="%1、"/>
      <w:lvlJc w:val="left"/>
      <w:pPr>
        <w:ind w:left="0" w:firstLine="420"/>
      </w:pPr>
      <w:rPr>
        <w:rFonts w:hint="eastAsia"/>
      </w:rPr>
    </w:lvl>
  </w:abstractNum>
  <w:abstractNum w:abstractNumId="2">
    <w:nsid w:val="0452F945"/>
    <w:multiLevelType w:val="singleLevel"/>
    <w:tmpl w:val="0452F945"/>
    <w:lvl w:ilvl="0" w:tentative="0">
      <w:start w:val="1"/>
      <w:numFmt w:val="decimal"/>
      <w:lvlText w:val="%1."/>
      <w:lvlJc w:val="left"/>
      <w:pPr>
        <w:ind w:left="425" w:hanging="425"/>
      </w:pPr>
      <w:rPr>
        <w:rFonts w:hint="default"/>
      </w:rPr>
    </w:lvl>
  </w:abstractNum>
  <w:abstractNum w:abstractNumId="3">
    <w:nsid w:val="36D191AC"/>
    <w:multiLevelType w:val="singleLevel"/>
    <w:tmpl w:val="36D191AC"/>
    <w:lvl w:ilvl="0" w:tentative="0">
      <w:start w:val="1"/>
      <w:numFmt w:val="upperLetter"/>
      <w:lvlText w:val="%1."/>
      <w:lvlJc w:val="left"/>
      <w:pPr>
        <w:ind w:left="425" w:hanging="425"/>
      </w:pPr>
      <w:rPr>
        <w:rFonts w:hint="default"/>
      </w:rPr>
    </w:lvl>
  </w:abstractNum>
  <w:abstractNum w:abstractNumId="4">
    <w:nsid w:val="44C25110"/>
    <w:multiLevelType w:val="singleLevel"/>
    <w:tmpl w:val="44C25110"/>
    <w:lvl w:ilvl="0" w:tentative="0">
      <w:start w:val="1"/>
      <w:numFmt w:val="chineseCounting"/>
      <w:suff w:val="nothing"/>
      <w:lvlText w:val="（%1）"/>
      <w:lvlJc w:val="left"/>
      <w:pPr>
        <w:ind w:left="0" w:firstLine="420"/>
      </w:pPr>
      <w:rPr>
        <w:rFonts w:hint="eastAsia" w:ascii="楷体" w:hAnsi="楷体" w:eastAsia="楷体" w:cs="楷体"/>
      </w:rPr>
    </w:lvl>
  </w:abstractNum>
  <w:abstractNum w:abstractNumId="5">
    <w:nsid w:val="676EC9EB"/>
    <w:multiLevelType w:val="singleLevel"/>
    <w:tmpl w:val="676EC9EB"/>
    <w:lvl w:ilvl="0" w:tentative="0">
      <w:start w:val="1"/>
      <w:numFmt w:val="chineseCounting"/>
      <w:suff w:val="nothing"/>
      <w:lvlText w:val="（%1）"/>
      <w:lvlJc w:val="left"/>
      <w:pPr>
        <w:ind w:left="0" w:firstLine="420"/>
      </w:pPr>
      <w:rPr>
        <w:rFonts w:hint="eastAsia"/>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hMzUxMTIwN2FhMzRmMWQwMjcwZmM5MTM2ZmI2NDQifQ=="/>
  </w:docVars>
  <w:rsids>
    <w:rsidRoot w:val="00172A27"/>
    <w:rsid w:val="001304E0"/>
    <w:rsid w:val="0B50723E"/>
    <w:rsid w:val="18102849"/>
    <w:rsid w:val="197D06BD"/>
    <w:rsid w:val="1C76287C"/>
    <w:rsid w:val="1FF561AE"/>
    <w:rsid w:val="21CA7725"/>
    <w:rsid w:val="24415E66"/>
    <w:rsid w:val="2A206C9C"/>
    <w:rsid w:val="2DD37B2E"/>
    <w:rsid w:val="2E7E34D1"/>
    <w:rsid w:val="31C85DFF"/>
    <w:rsid w:val="324E00CB"/>
    <w:rsid w:val="43BD0E45"/>
    <w:rsid w:val="47ED3A8B"/>
    <w:rsid w:val="6A7A589F"/>
    <w:rsid w:val="6D620248"/>
    <w:rsid w:val="76415063"/>
    <w:rsid w:val="7ED53F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kern w:val="0"/>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toc 7"/>
    <w:basedOn w:val="1"/>
    <w:next w:val="1"/>
    <w:qFormat/>
    <w:uiPriority w:val="0"/>
    <w:pPr>
      <w:ind w:left="2520" w:leftChars="1200"/>
    </w:pPr>
    <w:rPr>
      <w:rFonts w:ascii="Times New Roman" w:hAnsi="Times New Roman"/>
      <w:sz w:val="28"/>
      <w:szCs w:val="24"/>
    </w:rPr>
  </w:style>
  <w:style w:type="paragraph" w:styleId="4">
    <w:name w:val="Body Text"/>
    <w:basedOn w:val="1"/>
    <w:next w:val="1"/>
    <w:qFormat/>
    <w:uiPriority w:val="0"/>
    <w:pPr>
      <w:spacing w:line="420" w:lineRule="auto"/>
    </w:pPr>
    <w:rPr>
      <w:sz w:val="24"/>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333333"/>
      <w:u w:val="none"/>
    </w:rPr>
  </w:style>
  <w:style w:type="character" w:styleId="12">
    <w:name w:val="Hyperlink"/>
    <w:basedOn w:val="10"/>
    <w:qFormat/>
    <w:uiPriority w:val="0"/>
    <w:rPr>
      <w:color w:val="333333"/>
      <w:u w:val="none"/>
    </w:rPr>
  </w:style>
  <w:style w:type="character" w:customStyle="1" w:styleId="13">
    <w:name w:val="f"/>
    <w:basedOn w:val="10"/>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DANA</cp:lastModifiedBy>
  <dcterms:modified xsi:type="dcterms:W3CDTF">2023-09-21T08:45:09Z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B6FCFE72F4B349E6AD6FDDF889FC4C7D_12</vt:lpwstr>
  </property>
</Properties>
</file>